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A963C2">
        <w:rPr>
          <w:rFonts w:cs="Arial"/>
          <w:b/>
          <w:bCs/>
        </w:rPr>
        <w:t>12 February</w:t>
      </w:r>
      <w:r w:rsidR="00DB285C">
        <w:rPr>
          <w:rFonts w:cs="Arial"/>
          <w:b/>
          <w:bCs/>
        </w:rPr>
        <w:t xml:space="preserve">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rsidP="00B833AE">
      <w:pPr>
        <w:rPr>
          <w:rFonts w:cs="Arial"/>
          <w:b/>
          <w:bCs/>
        </w:rPr>
      </w:pPr>
      <w:r>
        <w:rPr>
          <w:rFonts w:cs="Arial"/>
          <w:b/>
          <w:bCs/>
        </w:rPr>
        <w:t>Report of:</w:t>
      </w:r>
      <w:r w:rsidR="00EA2FDD">
        <w:rPr>
          <w:rFonts w:cs="Arial"/>
          <w:b/>
          <w:bCs/>
        </w:rPr>
        <w:tab/>
      </w:r>
      <w:r w:rsidR="00EA2FDD">
        <w:rPr>
          <w:rFonts w:cs="Arial"/>
          <w:b/>
          <w:bCs/>
        </w:rPr>
        <w:tab/>
      </w:r>
      <w:r w:rsidR="00B833AE">
        <w:rPr>
          <w:rFonts w:cs="Arial"/>
          <w:b/>
          <w:bCs/>
        </w:rPr>
        <w:t xml:space="preserve">Executive </w:t>
      </w:r>
      <w:r w:rsidR="002C212B">
        <w:rPr>
          <w:rFonts w:cs="Arial"/>
          <w:b/>
          <w:bCs/>
        </w:rPr>
        <w:t>D</w:t>
      </w:r>
      <w:r w:rsidR="00F12C20">
        <w:rPr>
          <w:rFonts w:cs="Arial"/>
          <w:b/>
          <w:bCs/>
        </w:rPr>
        <w:t xml:space="preserve">irector </w:t>
      </w:r>
      <w:r w:rsidR="00B833AE">
        <w:rPr>
          <w:rFonts w:cs="Arial"/>
          <w:b/>
          <w:bCs/>
        </w:rPr>
        <w:t>for City</w:t>
      </w:r>
      <w:r w:rsidR="00F12C20">
        <w:rPr>
          <w:rFonts w:cs="Arial"/>
          <w:b/>
          <w:bCs/>
        </w:rPr>
        <w:t xml:space="preserve"> Regeneration and Housing</w:t>
      </w:r>
      <w:r>
        <w:rPr>
          <w:rFonts w:cs="Arial"/>
          <w:b/>
          <w:bCs/>
        </w:rPr>
        <w:tab/>
      </w:r>
    </w:p>
    <w:p w:rsidR="00F4367A" w:rsidRDefault="00F4367A">
      <w:pPr>
        <w:tabs>
          <w:tab w:val="left" w:pos="2160"/>
        </w:tabs>
        <w:rPr>
          <w:rFonts w:cs="Arial"/>
          <w:b/>
          <w:bCs/>
        </w:rPr>
      </w:pPr>
      <w:r>
        <w:rPr>
          <w:rFonts w:cs="Arial"/>
          <w:b/>
          <w:bCs/>
        </w:rPr>
        <w:t>Title of Report:</w:t>
      </w:r>
      <w:r>
        <w:rPr>
          <w:rFonts w:cs="Arial"/>
          <w:b/>
          <w:bCs/>
        </w:rPr>
        <w:tab/>
      </w:r>
      <w:bookmarkStart w:id="0" w:name="_GoBack"/>
      <w:r w:rsidR="002C212B">
        <w:rPr>
          <w:rFonts w:cs="Arial"/>
          <w:b/>
          <w:bCs/>
        </w:rPr>
        <w:t>Acquisition of St Aldate’s Chambers</w:t>
      </w:r>
      <w:r w:rsidR="00321A61">
        <w:rPr>
          <w:rFonts w:cs="Arial"/>
          <w:b/>
          <w:bCs/>
        </w:rPr>
        <w:t xml:space="preserve"> (SAC)</w:t>
      </w:r>
      <w:bookmarkEnd w:id="0"/>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rsidP="00421AEB">
      <w:pPr>
        <w:pBdr>
          <w:top w:val="single" w:sz="4" w:space="1" w:color="auto"/>
          <w:left w:val="single" w:sz="4" w:space="4" w:color="auto"/>
          <w:bottom w:val="single" w:sz="4" w:space="1" w:color="auto"/>
          <w:right w:val="single" w:sz="4" w:space="4" w:color="auto"/>
        </w:pBdr>
        <w:jc w:val="both"/>
        <w:rPr>
          <w:rFonts w:cs="Arial"/>
        </w:rPr>
      </w:pPr>
      <w:r>
        <w:rPr>
          <w:rFonts w:cs="Arial"/>
          <w:b/>
          <w:bCs/>
        </w:rPr>
        <w:t>Purpose of report</w:t>
      </w:r>
      <w:r>
        <w:rPr>
          <w:rFonts w:cs="Arial"/>
        </w:rPr>
        <w:t xml:space="preserve">:  </w:t>
      </w:r>
      <w:r w:rsidR="002C212B">
        <w:rPr>
          <w:rFonts w:cs="Arial"/>
        </w:rPr>
        <w:t xml:space="preserve">To approve the acquisition of the long leasehold </w:t>
      </w:r>
      <w:proofErr w:type="gramStart"/>
      <w:r w:rsidR="00ED006C">
        <w:rPr>
          <w:rFonts w:cs="Arial"/>
        </w:rPr>
        <w:t>interest in St Aldate’s Chambers, and simultaneously agree</w:t>
      </w:r>
      <w:proofErr w:type="gramEnd"/>
      <w:r w:rsidR="002C212B">
        <w:rPr>
          <w:rFonts w:cs="Arial"/>
        </w:rPr>
        <w:t xml:space="preserve"> </w:t>
      </w:r>
      <w:r w:rsidR="00321A61">
        <w:rPr>
          <w:rFonts w:cs="Arial"/>
        </w:rPr>
        <w:t xml:space="preserve">to vary </w:t>
      </w:r>
      <w:r w:rsidR="002C212B">
        <w:rPr>
          <w:rFonts w:cs="Arial"/>
        </w:rPr>
        <w:t>the long leasehold interest at 5 Queen Street.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Pr="002C212B"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2C212B">
        <w:rPr>
          <w:bCs w:val="0"/>
        </w:rPr>
        <w:t xml:space="preserve">:  </w:t>
      </w:r>
      <w:r w:rsidRPr="002C212B">
        <w:rPr>
          <w:b w:val="0"/>
          <w:bCs w:val="0"/>
        </w:rPr>
        <w:t>Yes</w:t>
      </w:r>
      <w:r w:rsidR="00F4367A" w:rsidRPr="002C212B">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2C212B">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F12C20">
        <w:rPr>
          <w:rFonts w:cs="Arial"/>
          <w:bCs/>
        </w:rPr>
        <w:t>Councillor Ed Turner</w:t>
      </w:r>
      <w:r w:rsidR="00B833AE">
        <w:rPr>
          <w:rFonts w:cs="Arial"/>
          <w:bCs/>
        </w:rPr>
        <w:t xml:space="preserve">, Board member for </w:t>
      </w:r>
      <w:r w:rsidR="00B833AE" w:rsidRPr="00B833AE">
        <w:rPr>
          <w:rFonts w:cs="Arial"/>
          <w:bCs/>
        </w:rPr>
        <w:t>Finance, Asset Management and Public Health</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2C212B" w:rsidRDefault="002C212B">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321A61">
        <w:rPr>
          <w:rFonts w:cs="Arial"/>
          <w:bCs/>
        </w:rPr>
        <w:t>Efficient and effective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1A4F75" w:rsidRDefault="005D224F" w:rsidP="00421AEB">
      <w:pPr>
        <w:pBdr>
          <w:top w:val="single" w:sz="4" w:space="1" w:color="auto"/>
          <w:left w:val="single" w:sz="4" w:space="4" w:color="auto"/>
          <w:bottom w:val="single" w:sz="4" w:space="1" w:color="auto"/>
          <w:right w:val="single" w:sz="4" w:space="4" w:color="auto"/>
        </w:pBdr>
        <w:tabs>
          <w:tab w:val="left" w:pos="3048"/>
        </w:tabs>
        <w:jc w:val="both"/>
        <w:rPr>
          <w:rFonts w:cs="Arial"/>
          <w:b/>
        </w:rPr>
      </w:pPr>
      <w:r>
        <w:rPr>
          <w:rFonts w:cs="Arial"/>
          <w:b/>
        </w:rPr>
        <w:t>Recommendations</w:t>
      </w:r>
      <w:r w:rsidR="00F4367A">
        <w:rPr>
          <w:rFonts w:cs="Arial"/>
          <w:b/>
        </w:rPr>
        <w:t>:</w:t>
      </w:r>
      <w:r w:rsidR="002C212B">
        <w:rPr>
          <w:rFonts w:cs="Arial"/>
          <w:b/>
        </w:rPr>
        <w:t xml:space="preserve">  </w:t>
      </w:r>
      <w:r w:rsidRPr="005D224F">
        <w:rPr>
          <w:rFonts w:cs="Arial"/>
        </w:rPr>
        <w:t>That the City Executive Board</w:t>
      </w:r>
    </w:p>
    <w:p w:rsidR="001A4F75" w:rsidRDefault="001A4F75" w:rsidP="00421AEB">
      <w:pPr>
        <w:pBdr>
          <w:top w:val="single" w:sz="4" w:space="1" w:color="auto"/>
          <w:left w:val="single" w:sz="4" w:space="4" w:color="auto"/>
          <w:bottom w:val="single" w:sz="4" w:space="1" w:color="auto"/>
          <w:right w:val="single" w:sz="4" w:space="4" w:color="auto"/>
        </w:pBdr>
        <w:tabs>
          <w:tab w:val="left" w:pos="3048"/>
        </w:tabs>
        <w:jc w:val="both"/>
        <w:rPr>
          <w:rFonts w:cs="Arial"/>
          <w:b/>
        </w:rPr>
      </w:pPr>
    </w:p>
    <w:p w:rsidR="00502F5E" w:rsidRDefault="001A4F75" w:rsidP="00421AEB">
      <w:pPr>
        <w:pBdr>
          <w:top w:val="single" w:sz="4" w:space="1" w:color="auto"/>
          <w:left w:val="single" w:sz="4" w:space="4" w:color="auto"/>
          <w:bottom w:val="single" w:sz="4" w:space="1" w:color="auto"/>
          <w:right w:val="single" w:sz="4" w:space="4" w:color="auto"/>
        </w:pBdr>
        <w:tabs>
          <w:tab w:val="left" w:pos="3048"/>
        </w:tabs>
        <w:jc w:val="both"/>
        <w:rPr>
          <w:rFonts w:cs="Arial"/>
        </w:rPr>
      </w:pPr>
      <w:r w:rsidRPr="00DC6F6D">
        <w:rPr>
          <w:rFonts w:cs="Arial"/>
        </w:rPr>
        <w:t>1)</w:t>
      </w:r>
      <w:r w:rsidR="00DC6F6D">
        <w:rPr>
          <w:rFonts w:cs="Arial"/>
        </w:rPr>
        <w:t xml:space="preserve"> </w:t>
      </w:r>
      <w:r w:rsidR="002C212B" w:rsidRPr="002C212B">
        <w:rPr>
          <w:rFonts w:cs="Arial"/>
        </w:rPr>
        <w:t xml:space="preserve">Grant approval for the </w:t>
      </w:r>
      <w:r w:rsidR="002C212B">
        <w:rPr>
          <w:rFonts w:cs="Arial"/>
        </w:rPr>
        <w:t xml:space="preserve">acquisition of the long leasehold interest in St </w:t>
      </w:r>
      <w:proofErr w:type="spellStart"/>
      <w:r w:rsidR="002C212B">
        <w:rPr>
          <w:rFonts w:cs="Arial"/>
        </w:rPr>
        <w:t>Aldate’s</w:t>
      </w:r>
      <w:proofErr w:type="spellEnd"/>
      <w:r w:rsidR="002C212B">
        <w:rPr>
          <w:rFonts w:cs="Arial"/>
        </w:rPr>
        <w:t xml:space="preserve"> Chambers</w:t>
      </w:r>
      <w:r w:rsidR="001D2CBC">
        <w:rPr>
          <w:rFonts w:cs="Arial"/>
        </w:rPr>
        <w:t xml:space="preserve"> for £</w:t>
      </w:r>
      <w:r w:rsidR="00195E99">
        <w:rPr>
          <w:rFonts w:cs="Arial"/>
        </w:rPr>
        <w:t>7,539,230</w:t>
      </w:r>
      <w:r w:rsidR="001D2CBC">
        <w:rPr>
          <w:rFonts w:cs="Arial"/>
        </w:rPr>
        <w:t xml:space="preserve"> (which </w:t>
      </w:r>
      <w:r w:rsidR="00502F5E">
        <w:rPr>
          <w:rFonts w:cs="Arial"/>
        </w:rPr>
        <w:t>comprises the purchase price of £7,200,000 plus</w:t>
      </w:r>
      <w:r w:rsidR="001D2CBC">
        <w:rPr>
          <w:rFonts w:cs="Arial"/>
        </w:rPr>
        <w:t xml:space="preserve"> acquisition costs of £</w:t>
      </w:r>
      <w:r w:rsidR="00195E99">
        <w:rPr>
          <w:rFonts w:cs="Arial"/>
        </w:rPr>
        <w:t>339,230</w:t>
      </w:r>
      <w:r w:rsidR="001D2CBC">
        <w:rPr>
          <w:rFonts w:cs="Arial"/>
        </w:rPr>
        <w:t>)</w:t>
      </w:r>
      <w:r w:rsidR="00502F5E">
        <w:rPr>
          <w:rFonts w:cs="Arial"/>
        </w:rPr>
        <w:t>.</w:t>
      </w:r>
    </w:p>
    <w:p w:rsidR="00502F5E" w:rsidRDefault="00502F5E" w:rsidP="00421AEB">
      <w:pPr>
        <w:pBdr>
          <w:top w:val="single" w:sz="4" w:space="1" w:color="auto"/>
          <w:left w:val="single" w:sz="4" w:space="4" w:color="auto"/>
          <w:bottom w:val="single" w:sz="4" w:space="1" w:color="auto"/>
          <w:right w:val="single" w:sz="4" w:space="4" w:color="auto"/>
        </w:pBdr>
        <w:tabs>
          <w:tab w:val="left" w:pos="3048"/>
        </w:tabs>
        <w:jc w:val="both"/>
        <w:rPr>
          <w:rFonts w:cs="Arial"/>
        </w:rPr>
      </w:pPr>
    </w:p>
    <w:p w:rsidR="00F4367A" w:rsidRDefault="00502F5E" w:rsidP="00421AEB">
      <w:pPr>
        <w:pBdr>
          <w:top w:val="single" w:sz="4" w:space="1" w:color="auto"/>
          <w:left w:val="single" w:sz="4" w:space="4" w:color="auto"/>
          <w:bottom w:val="single" w:sz="4" w:space="1" w:color="auto"/>
          <w:right w:val="single" w:sz="4" w:space="4" w:color="auto"/>
        </w:pBdr>
        <w:tabs>
          <w:tab w:val="left" w:pos="3048"/>
        </w:tabs>
        <w:jc w:val="both"/>
        <w:rPr>
          <w:rFonts w:cs="Arial"/>
        </w:rPr>
      </w:pPr>
      <w:r>
        <w:rPr>
          <w:rFonts w:cs="Arial"/>
        </w:rPr>
        <w:t>2) A</w:t>
      </w:r>
      <w:r w:rsidR="001D2CBC">
        <w:rPr>
          <w:rFonts w:cs="Arial"/>
        </w:rPr>
        <w:t xml:space="preserve">gree </w:t>
      </w:r>
      <w:r w:rsidR="00671E41">
        <w:rPr>
          <w:rFonts w:cs="Arial"/>
        </w:rPr>
        <w:t>the</w:t>
      </w:r>
      <w:r w:rsidR="00EB3AC2">
        <w:rPr>
          <w:rFonts w:cs="Arial"/>
        </w:rPr>
        <w:t xml:space="preserve"> variations </w:t>
      </w:r>
      <w:r w:rsidR="00671E41">
        <w:rPr>
          <w:rFonts w:cs="Arial"/>
        </w:rPr>
        <w:t xml:space="preserve">detailed in this report </w:t>
      </w:r>
      <w:r w:rsidR="00C21F23">
        <w:rPr>
          <w:rFonts w:cs="Arial"/>
        </w:rPr>
        <w:t xml:space="preserve">to </w:t>
      </w:r>
      <w:r w:rsidR="001D2CBC">
        <w:rPr>
          <w:rFonts w:cs="Arial"/>
        </w:rPr>
        <w:t xml:space="preserve">the long lease </w:t>
      </w:r>
      <w:r w:rsidR="00775202">
        <w:rPr>
          <w:rFonts w:cs="Arial"/>
        </w:rPr>
        <w:t>of</w:t>
      </w:r>
      <w:r w:rsidR="001D2CBC">
        <w:rPr>
          <w:rFonts w:cs="Arial"/>
        </w:rPr>
        <w:t xml:space="preserve"> 5 Queen Street such that the City Council receives not less than £</w:t>
      </w:r>
      <w:r w:rsidR="00775202">
        <w:rPr>
          <w:rFonts w:cs="Arial"/>
        </w:rPr>
        <w:t>25,000</w:t>
      </w:r>
      <w:r w:rsidR="001D2CBC">
        <w:rPr>
          <w:rFonts w:cs="Arial"/>
        </w:rPr>
        <w:t xml:space="preserve"> p</w:t>
      </w:r>
      <w:r w:rsidR="00775202">
        <w:rPr>
          <w:rFonts w:cs="Arial"/>
        </w:rPr>
        <w:t xml:space="preserve">a </w:t>
      </w:r>
      <w:r w:rsidR="001D2CBC">
        <w:rPr>
          <w:rFonts w:cs="Arial"/>
        </w:rPr>
        <w:t>in rent</w:t>
      </w:r>
      <w:r w:rsidR="00CD24F4">
        <w:rPr>
          <w:rFonts w:cs="Arial"/>
        </w:rPr>
        <w:t xml:space="preserve"> until 2144</w:t>
      </w:r>
      <w:r w:rsidR="001D2CBC">
        <w:rPr>
          <w:rFonts w:cs="Arial"/>
        </w:rPr>
        <w:t>.</w:t>
      </w:r>
    </w:p>
    <w:p w:rsidR="001A4F75" w:rsidRDefault="001A4F75" w:rsidP="00421AEB">
      <w:pPr>
        <w:pBdr>
          <w:top w:val="single" w:sz="4" w:space="1" w:color="auto"/>
          <w:left w:val="single" w:sz="4" w:space="4" w:color="auto"/>
          <w:bottom w:val="single" w:sz="4" w:space="1" w:color="auto"/>
          <w:right w:val="single" w:sz="4" w:space="4" w:color="auto"/>
        </w:pBdr>
        <w:tabs>
          <w:tab w:val="left" w:pos="3048"/>
        </w:tabs>
        <w:jc w:val="both"/>
        <w:rPr>
          <w:rFonts w:cs="Arial"/>
        </w:rPr>
      </w:pPr>
    </w:p>
    <w:p w:rsidR="001A4F75" w:rsidRDefault="00502F5E" w:rsidP="00421AEB">
      <w:pPr>
        <w:pBdr>
          <w:top w:val="single" w:sz="4" w:space="1" w:color="auto"/>
          <w:left w:val="single" w:sz="4" w:space="4" w:color="auto"/>
          <w:bottom w:val="single" w:sz="4" w:space="1" w:color="auto"/>
          <w:right w:val="single" w:sz="4" w:space="4" w:color="auto"/>
        </w:pBdr>
        <w:tabs>
          <w:tab w:val="left" w:pos="3048"/>
        </w:tabs>
        <w:jc w:val="both"/>
        <w:rPr>
          <w:rFonts w:cs="Arial"/>
        </w:rPr>
      </w:pPr>
      <w:r>
        <w:rPr>
          <w:rFonts w:cs="Arial"/>
        </w:rPr>
        <w:t>3</w:t>
      </w:r>
      <w:r w:rsidR="005D224F">
        <w:rPr>
          <w:rFonts w:cs="Arial"/>
        </w:rPr>
        <w:t>) R</w:t>
      </w:r>
      <w:r w:rsidR="001A4F75">
        <w:rPr>
          <w:rFonts w:cs="Arial"/>
        </w:rPr>
        <w:t>ecommend to Council the increase of the budget in the Council</w:t>
      </w:r>
      <w:r w:rsidR="004C61EC">
        <w:rPr>
          <w:rFonts w:cs="Arial"/>
        </w:rPr>
        <w:t>’</w:t>
      </w:r>
      <w:r w:rsidR="001A4F75">
        <w:rPr>
          <w:rFonts w:cs="Arial"/>
        </w:rPr>
        <w:t>s Capital Programme for the purchase of property in the sum of £</w:t>
      </w:r>
      <w:r w:rsidR="00195E99">
        <w:rPr>
          <w:rFonts w:cs="Arial"/>
        </w:rPr>
        <w:t>539,230</w:t>
      </w:r>
      <w:r w:rsidR="001A4F75">
        <w:rPr>
          <w:rFonts w:cs="Arial"/>
        </w:rPr>
        <w:t xml:space="preserve"> to be financed from </w:t>
      </w:r>
      <w:r w:rsidR="007464BB">
        <w:rPr>
          <w:rFonts w:cs="Arial"/>
        </w:rPr>
        <w:t>underspends in the Council</w:t>
      </w:r>
      <w:r w:rsidR="00E37701">
        <w:rPr>
          <w:rFonts w:cs="Arial"/>
        </w:rPr>
        <w:t>’</w:t>
      </w:r>
      <w:r w:rsidR="007464BB">
        <w:rPr>
          <w:rFonts w:cs="Arial"/>
        </w:rPr>
        <w:t>s General Fund Revenue Budget in 2014-15</w:t>
      </w:r>
      <w:r w:rsidR="004C61EC">
        <w:rPr>
          <w:rFonts w:cs="Arial"/>
        </w:rPr>
        <w:t>.</w:t>
      </w:r>
    </w:p>
    <w:p w:rsidR="001D2CBC" w:rsidRPr="002C212B" w:rsidRDefault="001D2CBC">
      <w:pPr>
        <w:pBdr>
          <w:top w:val="single" w:sz="4" w:space="1" w:color="auto"/>
          <w:left w:val="single" w:sz="4" w:space="4" w:color="auto"/>
          <w:bottom w:val="single" w:sz="4" w:space="1" w:color="auto"/>
          <w:right w:val="single" w:sz="4" w:space="4" w:color="auto"/>
        </w:pBdr>
        <w:tabs>
          <w:tab w:val="left" w:pos="3048"/>
        </w:tabs>
        <w:rPr>
          <w:rFonts w:cs="Arial"/>
        </w:rPr>
      </w:pPr>
    </w:p>
    <w:p w:rsidR="00F4367A" w:rsidRDefault="00F4367A">
      <w:pPr>
        <w:rPr>
          <w:rFonts w:cs="Arial"/>
        </w:rPr>
      </w:pPr>
    </w:p>
    <w:p w:rsidR="0055469E" w:rsidRDefault="00713675">
      <w:pPr>
        <w:rPr>
          <w:rFonts w:cs="Arial"/>
          <w:b/>
        </w:rPr>
      </w:pPr>
      <w:r w:rsidRPr="007B6E54">
        <w:rPr>
          <w:rFonts w:cs="Arial"/>
          <w:b/>
        </w:rPr>
        <w:t>Appendices</w:t>
      </w:r>
    </w:p>
    <w:p w:rsidR="0055469E" w:rsidRDefault="0055469E">
      <w:pPr>
        <w:rPr>
          <w:rFonts w:cs="Arial"/>
          <w:b/>
        </w:rPr>
      </w:pPr>
    </w:p>
    <w:p w:rsidR="00713675" w:rsidRDefault="0055469E" w:rsidP="00B85628">
      <w:pPr>
        <w:rPr>
          <w:rFonts w:cs="Arial"/>
        </w:rPr>
      </w:pPr>
      <w:r w:rsidRPr="0055469E">
        <w:rPr>
          <w:rFonts w:cs="Arial"/>
        </w:rPr>
        <w:t xml:space="preserve">Appendix 1 </w:t>
      </w:r>
      <w:r w:rsidR="00883F57">
        <w:rPr>
          <w:rFonts w:cs="Arial"/>
        </w:rPr>
        <w:t>–</w:t>
      </w:r>
      <w:r w:rsidR="006D14A5">
        <w:rPr>
          <w:rFonts w:cs="Arial"/>
        </w:rPr>
        <w:t xml:space="preserve"> </w:t>
      </w:r>
      <w:r w:rsidR="007B6E54">
        <w:rPr>
          <w:rFonts w:cs="Arial"/>
        </w:rPr>
        <w:t>Risk Register</w:t>
      </w:r>
    </w:p>
    <w:p w:rsidR="007B6E54" w:rsidRDefault="007B6E54">
      <w:pPr>
        <w:rPr>
          <w:rFonts w:cs="Arial"/>
        </w:rPr>
      </w:pPr>
    </w:p>
    <w:p w:rsidR="007B6E54" w:rsidRDefault="007B6E54">
      <w:pPr>
        <w:rPr>
          <w:rFonts w:cs="Arial"/>
          <w:b/>
        </w:rPr>
      </w:pPr>
      <w:r>
        <w:rPr>
          <w:rFonts w:cs="Arial"/>
          <w:b/>
        </w:rPr>
        <w:t>Background</w:t>
      </w:r>
    </w:p>
    <w:p w:rsidR="007B6E54" w:rsidRPr="00C25A18" w:rsidRDefault="007B6E54">
      <w:pPr>
        <w:rPr>
          <w:rFonts w:cs="Arial"/>
        </w:rPr>
      </w:pPr>
    </w:p>
    <w:p w:rsidR="00C25A18" w:rsidRPr="00C17E8E" w:rsidRDefault="00C25A18" w:rsidP="001E3888">
      <w:pPr>
        <w:pStyle w:val="ListParagraph"/>
        <w:numPr>
          <w:ilvl w:val="0"/>
          <w:numId w:val="3"/>
        </w:numPr>
        <w:ind w:left="567" w:hanging="567"/>
        <w:jc w:val="both"/>
        <w:rPr>
          <w:rFonts w:cs="Arial"/>
        </w:rPr>
      </w:pPr>
      <w:r w:rsidRPr="00C17E8E">
        <w:rPr>
          <w:rFonts w:cs="Arial"/>
        </w:rPr>
        <w:t>In December 2013, British Airways Pension Trustees Limited (BA</w:t>
      </w:r>
      <w:r w:rsidR="007B41E6">
        <w:rPr>
          <w:rFonts w:cs="Arial"/>
        </w:rPr>
        <w:t>), with its development partner</w:t>
      </w:r>
      <w:r w:rsidRPr="00C17E8E">
        <w:rPr>
          <w:rFonts w:cs="Arial"/>
        </w:rPr>
        <w:t xml:space="preserve"> REEF, acquired the long leasehold interest in St Aldate’s Chambers (SAC), and the adjacent 114-119 St Aldate’s and 4-5 Queen Street.</w:t>
      </w:r>
      <w:r w:rsidR="007F5BAA" w:rsidRPr="00C17E8E">
        <w:rPr>
          <w:rFonts w:cs="Arial"/>
        </w:rPr>
        <w:t xml:space="preserve">  The City Council hold</w:t>
      </w:r>
      <w:r w:rsidR="009A7174">
        <w:rPr>
          <w:rFonts w:cs="Arial"/>
        </w:rPr>
        <w:t>s</w:t>
      </w:r>
      <w:r w:rsidR="007F5BAA" w:rsidRPr="00C17E8E">
        <w:rPr>
          <w:rFonts w:cs="Arial"/>
        </w:rPr>
        <w:t xml:space="preserve"> the freehold interest in </w:t>
      </w:r>
      <w:r w:rsidR="001A4F75">
        <w:rPr>
          <w:rFonts w:cs="Arial"/>
        </w:rPr>
        <w:t xml:space="preserve">SAC </w:t>
      </w:r>
      <w:r w:rsidR="00854F14" w:rsidRPr="00C17E8E">
        <w:rPr>
          <w:rFonts w:cs="Arial"/>
        </w:rPr>
        <w:t>which delivers income of £5,000</w:t>
      </w:r>
      <w:r w:rsidR="002964DA">
        <w:rPr>
          <w:rFonts w:cs="Arial"/>
        </w:rPr>
        <w:t xml:space="preserve"> </w:t>
      </w:r>
      <w:r w:rsidR="00854F14" w:rsidRPr="00C17E8E">
        <w:rPr>
          <w:rFonts w:cs="Arial"/>
        </w:rPr>
        <w:t>p</w:t>
      </w:r>
      <w:r w:rsidR="004E0E50">
        <w:rPr>
          <w:rFonts w:cs="Arial"/>
        </w:rPr>
        <w:t xml:space="preserve">er </w:t>
      </w:r>
      <w:r w:rsidR="00854F14" w:rsidRPr="00C17E8E">
        <w:rPr>
          <w:rFonts w:cs="Arial"/>
        </w:rPr>
        <w:t>a</w:t>
      </w:r>
      <w:r w:rsidR="004E0E50">
        <w:rPr>
          <w:rFonts w:cs="Arial"/>
        </w:rPr>
        <w:t>nnum</w:t>
      </w:r>
      <w:r w:rsidR="00854F14" w:rsidRPr="00C17E8E">
        <w:rPr>
          <w:rFonts w:cs="Arial"/>
        </w:rPr>
        <w:t>.  The City Council also holds an occupational lease</w:t>
      </w:r>
      <w:r w:rsidR="00F44D6B" w:rsidRPr="00C17E8E">
        <w:rPr>
          <w:rFonts w:cs="Arial"/>
        </w:rPr>
        <w:t xml:space="preserve"> on SAC</w:t>
      </w:r>
      <w:r w:rsidR="00854F14" w:rsidRPr="00C17E8E">
        <w:rPr>
          <w:rFonts w:cs="Arial"/>
        </w:rPr>
        <w:t xml:space="preserve"> wit</w:t>
      </w:r>
      <w:r w:rsidR="00A421BB">
        <w:rPr>
          <w:rFonts w:cs="Arial"/>
        </w:rPr>
        <w:t>h a current rent liability of £300,091</w:t>
      </w:r>
      <w:r w:rsidR="002964DA">
        <w:rPr>
          <w:rFonts w:cs="Arial"/>
        </w:rPr>
        <w:t xml:space="preserve"> </w:t>
      </w:r>
      <w:r w:rsidR="00854F14" w:rsidRPr="00C17E8E">
        <w:rPr>
          <w:rFonts w:cs="Arial"/>
        </w:rPr>
        <w:t>p</w:t>
      </w:r>
      <w:r w:rsidR="004E0E50">
        <w:rPr>
          <w:rFonts w:cs="Arial"/>
        </w:rPr>
        <w:t xml:space="preserve">er </w:t>
      </w:r>
      <w:r w:rsidR="00854F14" w:rsidRPr="00C17E8E">
        <w:rPr>
          <w:rFonts w:cs="Arial"/>
        </w:rPr>
        <w:t>a</w:t>
      </w:r>
      <w:r w:rsidR="004E0E50">
        <w:rPr>
          <w:rFonts w:cs="Arial"/>
        </w:rPr>
        <w:t>nnum</w:t>
      </w:r>
      <w:r w:rsidR="00854F14" w:rsidRPr="00C17E8E">
        <w:rPr>
          <w:rFonts w:cs="Arial"/>
        </w:rPr>
        <w:t xml:space="preserve">.  </w:t>
      </w:r>
      <w:r w:rsidR="0075715C" w:rsidRPr="00C17E8E">
        <w:rPr>
          <w:rFonts w:cs="Arial"/>
        </w:rPr>
        <w:t xml:space="preserve">The next, and </w:t>
      </w:r>
      <w:r w:rsidR="00854F14" w:rsidRPr="00C17E8E">
        <w:rPr>
          <w:rFonts w:cs="Arial"/>
        </w:rPr>
        <w:t>final</w:t>
      </w:r>
      <w:r w:rsidR="0075715C" w:rsidRPr="00C17E8E">
        <w:rPr>
          <w:rFonts w:cs="Arial"/>
        </w:rPr>
        <w:t>,</w:t>
      </w:r>
      <w:r w:rsidR="00854F14" w:rsidRPr="00C17E8E">
        <w:rPr>
          <w:rFonts w:cs="Arial"/>
        </w:rPr>
        <w:t xml:space="preserve"> rent review is in 2023; the lease expires in 2037.</w:t>
      </w:r>
      <w:r w:rsidR="005420EC" w:rsidRPr="00C17E8E">
        <w:rPr>
          <w:rFonts w:cs="Arial"/>
        </w:rPr>
        <w:t xml:space="preserve">  The City Council also holds the freehold interest in 5 Queen Street only i.e. not 4 Queen Street and nor 114-119 St Aldate’s.</w:t>
      </w:r>
    </w:p>
    <w:p w:rsidR="00C25A18" w:rsidRPr="00C25A18" w:rsidRDefault="00C25A18" w:rsidP="00C25A18">
      <w:pPr>
        <w:jc w:val="both"/>
        <w:rPr>
          <w:rFonts w:cs="Arial"/>
        </w:rPr>
      </w:pPr>
    </w:p>
    <w:p w:rsidR="00C25A18" w:rsidRDefault="00C25A18" w:rsidP="001E3888">
      <w:pPr>
        <w:pStyle w:val="ListParagraph"/>
        <w:numPr>
          <w:ilvl w:val="0"/>
          <w:numId w:val="3"/>
        </w:numPr>
        <w:ind w:left="567" w:hanging="567"/>
        <w:jc w:val="both"/>
        <w:rPr>
          <w:rFonts w:cs="Arial"/>
        </w:rPr>
      </w:pPr>
      <w:r>
        <w:rPr>
          <w:rFonts w:cs="Arial"/>
        </w:rPr>
        <w:t>In July</w:t>
      </w:r>
      <w:r w:rsidR="007B2C11">
        <w:rPr>
          <w:rFonts w:cs="Arial"/>
        </w:rPr>
        <w:t xml:space="preserve"> </w:t>
      </w:r>
      <w:r>
        <w:rPr>
          <w:rFonts w:cs="Arial"/>
        </w:rPr>
        <w:t xml:space="preserve">2014, </w:t>
      </w:r>
      <w:r w:rsidR="009A7174">
        <w:rPr>
          <w:rFonts w:cs="Arial"/>
        </w:rPr>
        <w:t>BA/</w:t>
      </w:r>
      <w:r>
        <w:rPr>
          <w:rFonts w:cs="Arial"/>
        </w:rPr>
        <w:t>REEF submitted a planning application for the redevelopment of 114-119 St Aldate’s and 4-5 Queen Street for principally student accommodation (accessed from St Aldate’s)</w:t>
      </w:r>
      <w:r w:rsidR="007B2C11">
        <w:rPr>
          <w:rFonts w:cs="Arial"/>
        </w:rPr>
        <w:t xml:space="preserve"> and a new retail unit at 4-5 Queen Street.  The application was </w:t>
      </w:r>
      <w:r w:rsidR="00DF3894">
        <w:rPr>
          <w:rFonts w:cs="Arial"/>
        </w:rPr>
        <w:t>conditionally approved by the</w:t>
      </w:r>
      <w:r w:rsidR="007B2C11">
        <w:rPr>
          <w:rFonts w:cs="Arial"/>
        </w:rPr>
        <w:t xml:space="preserve"> West End Area Planning Committee on 12 November 2014</w:t>
      </w:r>
      <w:r w:rsidR="00DF3894">
        <w:rPr>
          <w:rFonts w:cs="Arial"/>
        </w:rPr>
        <w:t xml:space="preserve">.  </w:t>
      </w:r>
      <w:r w:rsidR="007B2C11">
        <w:rPr>
          <w:rFonts w:cs="Arial"/>
        </w:rPr>
        <w:t xml:space="preserve">The Decision Notice is expected to be issued in </w:t>
      </w:r>
      <w:r w:rsidR="00195E99">
        <w:rPr>
          <w:rFonts w:cs="Arial"/>
        </w:rPr>
        <w:t>February</w:t>
      </w:r>
      <w:r w:rsidR="007B2C11">
        <w:rPr>
          <w:rFonts w:cs="Arial"/>
        </w:rPr>
        <w:t xml:space="preserve"> 2015, but BA/REEF cannot commence development until the City Council </w:t>
      </w:r>
      <w:r w:rsidR="00B249BE">
        <w:rPr>
          <w:rFonts w:cs="Arial"/>
        </w:rPr>
        <w:t xml:space="preserve">(as </w:t>
      </w:r>
      <w:r w:rsidR="00624C53">
        <w:rPr>
          <w:rFonts w:cs="Arial"/>
        </w:rPr>
        <w:t xml:space="preserve">the </w:t>
      </w:r>
      <w:r w:rsidR="00B249BE">
        <w:rPr>
          <w:rFonts w:cs="Arial"/>
        </w:rPr>
        <w:t>freeholder</w:t>
      </w:r>
      <w:r w:rsidR="00624C53">
        <w:rPr>
          <w:rFonts w:cs="Arial"/>
        </w:rPr>
        <w:t xml:space="preserve"> of 5 Queen Street</w:t>
      </w:r>
      <w:r w:rsidR="00B249BE">
        <w:rPr>
          <w:rFonts w:cs="Arial"/>
        </w:rPr>
        <w:t xml:space="preserve">) </w:t>
      </w:r>
      <w:r w:rsidR="007B2C11">
        <w:rPr>
          <w:rFonts w:cs="Arial"/>
        </w:rPr>
        <w:t>agrees to several material amendments to the long lease</w:t>
      </w:r>
      <w:r w:rsidR="00B249BE">
        <w:rPr>
          <w:rFonts w:cs="Arial"/>
        </w:rPr>
        <w:t>.</w:t>
      </w:r>
      <w:r w:rsidR="004E5CAC">
        <w:rPr>
          <w:rFonts w:cs="Arial"/>
        </w:rPr>
        <w:t xml:space="preserve">  T</w:t>
      </w:r>
      <w:r w:rsidR="00B249BE">
        <w:rPr>
          <w:rFonts w:cs="Arial"/>
        </w:rPr>
        <w:t>he</w:t>
      </w:r>
      <w:r w:rsidR="003B3954">
        <w:rPr>
          <w:rFonts w:cs="Arial"/>
        </w:rPr>
        <w:t xml:space="preserve"> </w:t>
      </w:r>
      <w:r w:rsidR="00890274">
        <w:rPr>
          <w:rFonts w:cs="Arial"/>
        </w:rPr>
        <w:t xml:space="preserve">long </w:t>
      </w:r>
      <w:r w:rsidR="003B3954">
        <w:rPr>
          <w:rFonts w:cs="Arial"/>
        </w:rPr>
        <w:t xml:space="preserve">lease </w:t>
      </w:r>
      <w:r w:rsidR="00E70CB1">
        <w:rPr>
          <w:rFonts w:cs="Arial"/>
        </w:rPr>
        <w:t>is geared to 12% of</w:t>
      </w:r>
      <w:r w:rsidR="00A94B4F">
        <w:rPr>
          <w:rFonts w:cs="Arial"/>
        </w:rPr>
        <w:t xml:space="preserve"> the</w:t>
      </w:r>
      <w:r w:rsidR="00E70CB1">
        <w:rPr>
          <w:rFonts w:cs="Arial"/>
        </w:rPr>
        <w:t xml:space="preserve"> rents received </w:t>
      </w:r>
      <w:r w:rsidR="006063B8">
        <w:rPr>
          <w:rFonts w:cs="Arial"/>
        </w:rPr>
        <w:t xml:space="preserve">and </w:t>
      </w:r>
      <w:r w:rsidR="00890274">
        <w:rPr>
          <w:rFonts w:cs="Arial"/>
        </w:rPr>
        <w:t xml:space="preserve">it </w:t>
      </w:r>
      <w:r w:rsidR="00E70CB1">
        <w:rPr>
          <w:rFonts w:cs="Arial"/>
        </w:rPr>
        <w:t xml:space="preserve">expires in </w:t>
      </w:r>
      <w:r w:rsidR="00B249BE">
        <w:rPr>
          <w:rFonts w:cs="Arial"/>
        </w:rPr>
        <w:t>2144.</w:t>
      </w:r>
    </w:p>
    <w:p w:rsidR="00B249BE" w:rsidRDefault="00B249BE" w:rsidP="00B249BE">
      <w:pPr>
        <w:pStyle w:val="ListParagraph"/>
        <w:jc w:val="both"/>
        <w:rPr>
          <w:rFonts w:cs="Arial"/>
        </w:rPr>
      </w:pPr>
    </w:p>
    <w:p w:rsidR="00B249BE" w:rsidRDefault="0018012E" w:rsidP="001E3888">
      <w:pPr>
        <w:pStyle w:val="ListParagraph"/>
        <w:numPr>
          <w:ilvl w:val="0"/>
          <w:numId w:val="3"/>
        </w:numPr>
        <w:ind w:left="567" w:hanging="567"/>
        <w:jc w:val="both"/>
        <w:rPr>
          <w:rFonts w:cs="Arial"/>
        </w:rPr>
      </w:pPr>
      <w:r w:rsidRPr="00C17E8E">
        <w:rPr>
          <w:rFonts w:cs="Arial"/>
        </w:rPr>
        <w:t xml:space="preserve">The City </w:t>
      </w:r>
      <w:r w:rsidR="00624C53" w:rsidRPr="00C17E8E">
        <w:rPr>
          <w:rFonts w:cs="Arial"/>
        </w:rPr>
        <w:t>Council</w:t>
      </w:r>
      <w:r w:rsidR="00502F5E">
        <w:rPr>
          <w:rFonts w:cs="Arial"/>
        </w:rPr>
        <w:t xml:space="preserve">’s acquisition of the long leasehold interest in St </w:t>
      </w:r>
      <w:proofErr w:type="spellStart"/>
      <w:r w:rsidR="00502F5E">
        <w:rPr>
          <w:rFonts w:cs="Arial"/>
        </w:rPr>
        <w:t>Aldate</w:t>
      </w:r>
      <w:r w:rsidR="00EF2EA6">
        <w:rPr>
          <w:rFonts w:cs="Arial"/>
        </w:rPr>
        <w:t>’</w:t>
      </w:r>
      <w:r w:rsidR="00502F5E">
        <w:rPr>
          <w:rFonts w:cs="Arial"/>
        </w:rPr>
        <w:t>s</w:t>
      </w:r>
      <w:proofErr w:type="spellEnd"/>
      <w:r w:rsidR="00502F5E">
        <w:rPr>
          <w:rFonts w:cs="Arial"/>
        </w:rPr>
        <w:t xml:space="preserve"> Chambers</w:t>
      </w:r>
      <w:r w:rsidR="00624C53" w:rsidRPr="00C17E8E">
        <w:rPr>
          <w:rFonts w:cs="Arial"/>
        </w:rPr>
        <w:t xml:space="preserve"> </w:t>
      </w:r>
      <w:r w:rsidR="00502F5E" w:rsidRPr="00C17E8E">
        <w:rPr>
          <w:rFonts w:cs="Arial"/>
        </w:rPr>
        <w:t xml:space="preserve">is strategically driven by: the want to remove future rent review risk; to mitigate tenant </w:t>
      </w:r>
      <w:r w:rsidR="00502F5E">
        <w:rPr>
          <w:rFonts w:cs="Arial"/>
        </w:rPr>
        <w:t>dilapidations risk</w:t>
      </w:r>
      <w:r w:rsidR="00502F5E" w:rsidRPr="00C17E8E">
        <w:rPr>
          <w:rFonts w:cs="Arial"/>
        </w:rPr>
        <w:t>; and, make use of the City</w:t>
      </w:r>
      <w:r w:rsidR="00502F5E">
        <w:rPr>
          <w:rFonts w:cs="Arial"/>
        </w:rPr>
        <w:t xml:space="preserve"> Council</w:t>
      </w:r>
      <w:r w:rsidR="00502F5E" w:rsidRPr="00C17E8E">
        <w:rPr>
          <w:rFonts w:cs="Arial"/>
        </w:rPr>
        <w:t>’s competitive cost of capital</w:t>
      </w:r>
      <w:r w:rsidR="00EF2EA6">
        <w:rPr>
          <w:rFonts w:cs="Arial"/>
        </w:rPr>
        <w:t xml:space="preserve">.  </w:t>
      </w:r>
      <w:r w:rsidR="00502F5E">
        <w:rPr>
          <w:rFonts w:cs="Arial"/>
        </w:rPr>
        <w:t xml:space="preserve">Separately, the amendment </w:t>
      </w:r>
      <w:r w:rsidRPr="00C17E8E">
        <w:rPr>
          <w:rFonts w:cs="Arial"/>
        </w:rPr>
        <w:t>to the long</w:t>
      </w:r>
      <w:r w:rsidR="00EF2EA6">
        <w:rPr>
          <w:rFonts w:cs="Arial"/>
        </w:rPr>
        <w:t xml:space="preserve"> </w:t>
      </w:r>
      <w:r w:rsidRPr="00C17E8E">
        <w:rPr>
          <w:rFonts w:cs="Arial"/>
        </w:rPr>
        <w:t xml:space="preserve">lease </w:t>
      </w:r>
      <w:r w:rsidR="004E5CAC" w:rsidRPr="00C17E8E">
        <w:rPr>
          <w:rFonts w:cs="Arial"/>
        </w:rPr>
        <w:t xml:space="preserve">on 5 Queen Street </w:t>
      </w:r>
      <w:r w:rsidR="00502F5E">
        <w:rPr>
          <w:rFonts w:cs="Arial"/>
        </w:rPr>
        <w:t>will enable development and increase the rental income to the Council from the property.</w:t>
      </w:r>
      <w:r w:rsidR="007C132D" w:rsidRPr="00C17E8E">
        <w:rPr>
          <w:rFonts w:cs="Arial"/>
        </w:rPr>
        <w:t xml:space="preserve"> </w:t>
      </w:r>
    </w:p>
    <w:p w:rsidR="00022707" w:rsidRDefault="00022707" w:rsidP="009B2F73">
      <w:pPr>
        <w:rPr>
          <w:rFonts w:cs="Arial"/>
        </w:rPr>
      </w:pPr>
    </w:p>
    <w:p w:rsidR="009B2F73" w:rsidRPr="003544F2" w:rsidRDefault="009B2F73" w:rsidP="009B2F73">
      <w:pPr>
        <w:ind w:left="567"/>
        <w:rPr>
          <w:rFonts w:cs="Arial"/>
          <w:u w:val="single"/>
        </w:rPr>
      </w:pPr>
      <w:r w:rsidRPr="003544F2">
        <w:rPr>
          <w:rFonts w:cs="Arial"/>
          <w:u w:val="single"/>
        </w:rPr>
        <w:t xml:space="preserve">St </w:t>
      </w:r>
      <w:proofErr w:type="spellStart"/>
      <w:r w:rsidRPr="003544F2">
        <w:rPr>
          <w:rFonts w:cs="Arial"/>
          <w:u w:val="single"/>
        </w:rPr>
        <w:t>Aldate’s</w:t>
      </w:r>
      <w:proofErr w:type="spellEnd"/>
      <w:r w:rsidRPr="003544F2">
        <w:rPr>
          <w:rFonts w:cs="Arial"/>
          <w:u w:val="single"/>
        </w:rPr>
        <w:t xml:space="preserve"> Chambers (SAC)</w:t>
      </w:r>
    </w:p>
    <w:p w:rsidR="006E4DDF" w:rsidRPr="006E4DDF" w:rsidRDefault="006E4DDF" w:rsidP="006E4DDF">
      <w:pPr>
        <w:pStyle w:val="ListParagraph"/>
        <w:rPr>
          <w:rFonts w:cs="Arial"/>
        </w:rPr>
      </w:pPr>
    </w:p>
    <w:p w:rsidR="006E4DDF" w:rsidRPr="00C17E8E" w:rsidRDefault="00BA2F20" w:rsidP="00C86D68">
      <w:pPr>
        <w:pStyle w:val="ListParagraph"/>
        <w:numPr>
          <w:ilvl w:val="0"/>
          <w:numId w:val="3"/>
        </w:numPr>
        <w:ind w:left="567" w:hanging="567"/>
        <w:jc w:val="both"/>
        <w:rPr>
          <w:rFonts w:cs="Arial"/>
        </w:rPr>
      </w:pPr>
      <w:r w:rsidRPr="00C17E8E">
        <w:rPr>
          <w:rFonts w:cs="Arial"/>
        </w:rPr>
        <w:t xml:space="preserve">The City </w:t>
      </w:r>
      <w:r w:rsidR="00A912B0">
        <w:rPr>
          <w:rFonts w:cs="Arial"/>
        </w:rPr>
        <w:t xml:space="preserve">Council </w:t>
      </w:r>
      <w:r w:rsidRPr="00C17E8E">
        <w:rPr>
          <w:rFonts w:cs="Arial"/>
        </w:rPr>
        <w:t>has sought valuation advice from Jones Lang LaSalle on the current Market Value of BA/REEF</w:t>
      </w:r>
      <w:r w:rsidR="000B403D">
        <w:rPr>
          <w:rFonts w:cs="Arial"/>
        </w:rPr>
        <w:t>’</w:t>
      </w:r>
      <w:r w:rsidRPr="00C17E8E">
        <w:rPr>
          <w:rFonts w:cs="Arial"/>
        </w:rPr>
        <w:t>s</w:t>
      </w:r>
      <w:r w:rsidR="00415DAA" w:rsidRPr="00C17E8E">
        <w:rPr>
          <w:rFonts w:cs="Arial"/>
        </w:rPr>
        <w:t xml:space="preserve"> </w:t>
      </w:r>
      <w:r w:rsidR="00CE15AF" w:rsidRPr="00C17E8E">
        <w:rPr>
          <w:rFonts w:cs="Arial"/>
        </w:rPr>
        <w:t xml:space="preserve">long leasehold </w:t>
      </w:r>
      <w:r w:rsidR="00415DAA" w:rsidRPr="00C17E8E">
        <w:rPr>
          <w:rFonts w:cs="Arial"/>
        </w:rPr>
        <w:t>interest</w:t>
      </w:r>
      <w:r w:rsidR="00CE15AF" w:rsidRPr="00C17E8E">
        <w:rPr>
          <w:rFonts w:cs="Arial"/>
        </w:rPr>
        <w:t xml:space="preserve"> in SAC</w:t>
      </w:r>
      <w:r w:rsidR="000006C3" w:rsidRPr="00C17E8E">
        <w:rPr>
          <w:rFonts w:cs="Arial"/>
        </w:rPr>
        <w:t>.</w:t>
      </w:r>
    </w:p>
    <w:p w:rsidR="00A32763" w:rsidRPr="00A32763" w:rsidRDefault="00A32763" w:rsidP="00A32763">
      <w:pPr>
        <w:pStyle w:val="ListParagraph"/>
        <w:rPr>
          <w:rFonts w:cs="Arial"/>
        </w:rPr>
      </w:pPr>
    </w:p>
    <w:p w:rsidR="003A46B8" w:rsidRPr="00C17E8E" w:rsidRDefault="0002772D" w:rsidP="00C86D68">
      <w:pPr>
        <w:pStyle w:val="ListParagraph"/>
        <w:numPr>
          <w:ilvl w:val="0"/>
          <w:numId w:val="3"/>
        </w:numPr>
        <w:ind w:left="567" w:hanging="567"/>
        <w:jc w:val="both"/>
        <w:rPr>
          <w:rFonts w:cs="Arial"/>
        </w:rPr>
      </w:pPr>
      <w:r w:rsidRPr="00C17E8E">
        <w:rPr>
          <w:rFonts w:cs="Arial"/>
        </w:rPr>
        <w:t>The</w:t>
      </w:r>
      <w:r w:rsidR="00B07180">
        <w:rPr>
          <w:rFonts w:cs="Arial"/>
        </w:rPr>
        <w:t>re has been a significant amount of negotiation with BA/REEF around the</w:t>
      </w:r>
      <w:r w:rsidRPr="00C17E8E">
        <w:rPr>
          <w:rFonts w:cs="Arial"/>
        </w:rPr>
        <w:t xml:space="preserve"> Estimated Rental Value </w:t>
      </w:r>
      <w:r w:rsidR="00B07180">
        <w:rPr>
          <w:rFonts w:cs="Arial"/>
        </w:rPr>
        <w:t xml:space="preserve">(ERV) </w:t>
      </w:r>
      <w:r w:rsidRPr="00C17E8E">
        <w:rPr>
          <w:rFonts w:cs="Arial"/>
        </w:rPr>
        <w:t>of</w:t>
      </w:r>
      <w:r w:rsidR="003A46B8" w:rsidRPr="00C17E8E">
        <w:rPr>
          <w:rFonts w:cs="Arial"/>
        </w:rPr>
        <w:t xml:space="preserve"> SAC</w:t>
      </w:r>
      <w:r w:rsidR="00B07180">
        <w:rPr>
          <w:rFonts w:cs="Arial"/>
        </w:rPr>
        <w:t>,</w:t>
      </w:r>
      <w:r w:rsidR="003A46B8" w:rsidRPr="00C17E8E">
        <w:rPr>
          <w:rFonts w:cs="Arial"/>
        </w:rPr>
        <w:t xml:space="preserve"> </w:t>
      </w:r>
      <w:r w:rsidR="00D412F6" w:rsidRPr="00C17E8E">
        <w:rPr>
          <w:rFonts w:cs="Arial"/>
        </w:rPr>
        <w:t>net of a market incentive</w:t>
      </w:r>
      <w:r w:rsidR="00B07180">
        <w:rPr>
          <w:rFonts w:cs="Arial"/>
        </w:rPr>
        <w:t>.</w:t>
      </w:r>
      <w:r w:rsidR="00D412F6" w:rsidRPr="00C17E8E">
        <w:rPr>
          <w:rFonts w:cs="Arial"/>
        </w:rPr>
        <w:t xml:space="preserve"> </w:t>
      </w:r>
      <w:r w:rsidR="00B07180">
        <w:rPr>
          <w:rFonts w:cs="Arial"/>
        </w:rPr>
        <w:t xml:space="preserve"> An ERV of </w:t>
      </w:r>
      <w:r w:rsidR="003A46B8" w:rsidRPr="00C17E8E">
        <w:rPr>
          <w:rFonts w:cs="Arial"/>
        </w:rPr>
        <w:t>circa £4</w:t>
      </w:r>
      <w:r w:rsidR="00D412F6" w:rsidRPr="00C17E8E">
        <w:rPr>
          <w:rFonts w:cs="Arial"/>
        </w:rPr>
        <w:t>50</w:t>
      </w:r>
      <w:r w:rsidR="003A46B8" w:rsidRPr="00C17E8E">
        <w:rPr>
          <w:rFonts w:cs="Arial"/>
        </w:rPr>
        <w:t>,000</w:t>
      </w:r>
      <w:r w:rsidR="00732B75">
        <w:rPr>
          <w:rFonts w:cs="Arial"/>
        </w:rPr>
        <w:t xml:space="preserve"> </w:t>
      </w:r>
      <w:r w:rsidR="003A46B8" w:rsidRPr="00C17E8E">
        <w:rPr>
          <w:rFonts w:cs="Arial"/>
        </w:rPr>
        <w:t>p</w:t>
      </w:r>
      <w:r w:rsidR="000501DD">
        <w:rPr>
          <w:rFonts w:cs="Arial"/>
        </w:rPr>
        <w:t xml:space="preserve">er </w:t>
      </w:r>
      <w:r w:rsidR="003A46B8" w:rsidRPr="00C17E8E">
        <w:rPr>
          <w:rFonts w:cs="Arial"/>
        </w:rPr>
        <w:t>a</w:t>
      </w:r>
      <w:r w:rsidR="000501DD">
        <w:rPr>
          <w:rFonts w:cs="Arial"/>
        </w:rPr>
        <w:t>nnum</w:t>
      </w:r>
      <w:r w:rsidR="00B07180">
        <w:rPr>
          <w:rFonts w:cs="Arial"/>
        </w:rPr>
        <w:t xml:space="preserve"> can be supported</w:t>
      </w:r>
      <w:r w:rsidR="00D412F6" w:rsidRPr="00C17E8E">
        <w:rPr>
          <w:rFonts w:cs="Arial"/>
        </w:rPr>
        <w:t xml:space="preserve">, which is predicated </w:t>
      </w:r>
      <w:r w:rsidR="003A46B8" w:rsidRPr="00C17E8E">
        <w:rPr>
          <w:rFonts w:cs="Arial"/>
        </w:rPr>
        <w:t xml:space="preserve">on £15.00 per </w:t>
      </w:r>
      <w:r w:rsidR="007A43A9">
        <w:rPr>
          <w:rFonts w:cs="Arial"/>
        </w:rPr>
        <w:t>ft</w:t>
      </w:r>
      <w:r w:rsidR="007A43A9" w:rsidRPr="00303D3F">
        <w:rPr>
          <w:rFonts w:cs="Arial"/>
          <w:vertAlign w:val="superscript"/>
        </w:rPr>
        <w:t>2</w:t>
      </w:r>
      <w:r w:rsidR="00D44680">
        <w:rPr>
          <w:rFonts w:cs="Arial"/>
          <w:vertAlign w:val="superscript"/>
        </w:rPr>
        <w:t xml:space="preserve"> </w:t>
      </w:r>
      <w:r w:rsidR="003A46B8" w:rsidRPr="00C17E8E">
        <w:rPr>
          <w:rFonts w:cs="Arial"/>
        </w:rPr>
        <w:t xml:space="preserve">for the ground and upper floors which takes account of the age and size of the building.  At the next rent review in 2023, the City Council’s rent could </w:t>
      </w:r>
      <w:r w:rsidR="00B07180">
        <w:rPr>
          <w:rFonts w:cs="Arial"/>
        </w:rPr>
        <w:t xml:space="preserve">therefore </w:t>
      </w:r>
      <w:proofErr w:type="gramStart"/>
      <w:r w:rsidR="003A46B8" w:rsidRPr="00C17E8E">
        <w:rPr>
          <w:rFonts w:cs="Arial"/>
        </w:rPr>
        <w:t>rise</w:t>
      </w:r>
      <w:proofErr w:type="gramEnd"/>
      <w:r w:rsidR="003A46B8" w:rsidRPr="00C17E8E">
        <w:rPr>
          <w:rFonts w:cs="Arial"/>
        </w:rPr>
        <w:t xml:space="preserve"> to £450,000+</w:t>
      </w:r>
      <w:r w:rsidR="004C2C90">
        <w:rPr>
          <w:rFonts w:cs="Arial"/>
        </w:rPr>
        <w:t xml:space="preserve"> </w:t>
      </w:r>
      <w:r w:rsidR="003A46B8" w:rsidRPr="00C17E8E">
        <w:rPr>
          <w:rFonts w:cs="Arial"/>
        </w:rPr>
        <w:t>p</w:t>
      </w:r>
      <w:r w:rsidR="00CB71AE">
        <w:rPr>
          <w:rFonts w:cs="Arial"/>
        </w:rPr>
        <w:t xml:space="preserve">er </w:t>
      </w:r>
      <w:r w:rsidR="003A46B8" w:rsidRPr="00C17E8E">
        <w:rPr>
          <w:rFonts w:cs="Arial"/>
        </w:rPr>
        <w:t>a</w:t>
      </w:r>
      <w:r w:rsidR="00CB71AE">
        <w:rPr>
          <w:rFonts w:cs="Arial"/>
        </w:rPr>
        <w:t>nnum</w:t>
      </w:r>
      <w:r w:rsidR="003A46B8" w:rsidRPr="00C17E8E">
        <w:rPr>
          <w:rFonts w:cs="Arial"/>
        </w:rPr>
        <w:t xml:space="preserve"> i.e. £150,000+</w:t>
      </w:r>
      <w:r w:rsidR="004C2C90">
        <w:rPr>
          <w:rFonts w:cs="Arial"/>
        </w:rPr>
        <w:t xml:space="preserve"> </w:t>
      </w:r>
      <w:r w:rsidR="003A46B8" w:rsidRPr="00C17E8E">
        <w:rPr>
          <w:rFonts w:cs="Arial"/>
        </w:rPr>
        <w:t>p</w:t>
      </w:r>
      <w:r w:rsidR="00CB71AE">
        <w:rPr>
          <w:rFonts w:cs="Arial"/>
        </w:rPr>
        <w:t xml:space="preserve">er </w:t>
      </w:r>
      <w:r w:rsidR="003A46B8" w:rsidRPr="00C17E8E">
        <w:rPr>
          <w:rFonts w:cs="Arial"/>
        </w:rPr>
        <w:t>a</w:t>
      </w:r>
      <w:r w:rsidR="00CB71AE">
        <w:rPr>
          <w:rFonts w:cs="Arial"/>
        </w:rPr>
        <w:t>nnum</w:t>
      </w:r>
      <w:r w:rsidR="003A46B8" w:rsidRPr="00C17E8E">
        <w:rPr>
          <w:rFonts w:cs="Arial"/>
        </w:rPr>
        <w:t xml:space="preserve"> more than the current rent.  </w:t>
      </w:r>
    </w:p>
    <w:p w:rsidR="003A46B8" w:rsidRPr="003A46B8" w:rsidRDefault="003A46B8" w:rsidP="003A46B8">
      <w:pPr>
        <w:pStyle w:val="ListParagraph"/>
        <w:rPr>
          <w:rFonts w:cs="Arial"/>
        </w:rPr>
      </w:pPr>
    </w:p>
    <w:p w:rsidR="002A6B41" w:rsidRDefault="00B53FFD" w:rsidP="00C86D68">
      <w:pPr>
        <w:pStyle w:val="ListParagraph"/>
        <w:numPr>
          <w:ilvl w:val="0"/>
          <w:numId w:val="3"/>
        </w:numPr>
        <w:ind w:left="567" w:hanging="567"/>
        <w:jc w:val="both"/>
        <w:rPr>
          <w:rFonts w:cs="Arial"/>
        </w:rPr>
      </w:pPr>
      <w:r w:rsidRPr="00C17E8E">
        <w:rPr>
          <w:rFonts w:cs="Arial"/>
        </w:rPr>
        <w:t xml:space="preserve">We </w:t>
      </w:r>
      <w:r w:rsidR="006F090E">
        <w:rPr>
          <w:rFonts w:cs="Arial"/>
        </w:rPr>
        <w:t>have now agreed in principle terms</w:t>
      </w:r>
      <w:r w:rsidRPr="00C17E8E">
        <w:rPr>
          <w:rFonts w:cs="Arial"/>
        </w:rPr>
        <w:t xml:space="preserve"> with BA/REEF</w:t>
      </w:r>
      <w:r w:rsidR="006F090E">
        <w:rPr>
          <w:rFonts w:cs="Arial"/>
        </w:rPr>
        <w:t>,</w:t>
      </w:r>
      <w:r w:rsidR="001B3959">
        <w:rPr>
          <w:rFonts w:cs="Arial"/>
        </w:rPr>
        <w:t xml:space="preserve"> subject to due diligence and </w:t>
      </w:r>
      <w:r w:rsidR="00F12C20">
        <w:rPr>
          <w:rFonts w:cs="Arial"/>
        </w:rPr>
        <w:t>Board</w:t>
      </w:r>
      <w:r w:rsidR="001B3959">
        <w:rPr>
          <w:rFonts w:cs="Arial"/>
        </w:rPr>
        <w:t xml:space="preserve"> approval, </w:t>
      </w:r>
      <w:r w:rsidRPr="00C17E8E">
        <w:rPr>
          <w:rFonts w:cs="Arial"/>
        </w:rPr>
        <w:t>to acquire the long leasehold interest for £</w:t>
      </w:r>
      <w:r w:rsidR="00195E99">
        <w:rPr>
          <w:rFonts w:cs="Arial"/>
        </w:rPr>
        <w:t>7,200,000</w:t>
      </w:r>
      <w:r w:rsidR="009603A4" w:rsidRPr="00C17E8E">
        <w:rPr>
          <w:rFonts w:cs="Arial"/>
        </w:rPr>
        <w:t>, added to which will be acquisition costs of £</w:t>
      </w:r>
      <w:r w:rsidR="00195E99">
        <w:rPr>
          <w:rFonts w:cs="Arial"/>
        </w:rPr>
        <w:t>339,230</w:t>
      </w:r>
      <w:r w:rsidR="00E56962" w:rsidRPr="00C17E8E">
        <w:rPr>
          <w:rFonts w:cs="Arial"/>
        </w:rPr>
        <w:t xml:space="preserve"> (being SDLT of £</w:t>
      </w:r>
      <w:r w:rsidR="00195E99">
        <w:rPr>
          <w:rFonts w:cs="Arial"/>
        </w:rPr>
        <w:t>288,000</w:t>
      </w:r>
      <w:r w:rsidR="00E56962" w:rsidRPr="00C17E8E">
        <w:rPr>
          <w:rFonts w:cs="Arial"/>
        </w:rPr>
        <w:t xml:space="preserve"> </w:t>
      </w:r>
      <w:r w:rsidR="00675712">
        <w:rPr>
          <w:rFonts w:cs="Arial"/>
        </w:rPr>
        <w:t>plus</w:t>
      </w:r>
      <w:r w:rsidR="004E4EB7">
        <w:rPr>
          <w:rFonts w:cs="Arial"/>
        </w:rPr>
        <w:t xml:space="preserve"> </w:t>
      </w:r>
      <w:r w:rsidR="00E56962" w:rsidRPr="00C17E8E">
        <w:rPr>
          <w:rFonts w:cs="Arial"/>
        </w:rPr>
        <w:t xml:space="preserve">JLL valuation input and market advice (pursuant to both SAC and 5 Queen Street) of </w:t>
      </w:r>
      <w:r w:rsidR="00195E99">
        <w:rPr>
          <w:rFonts w:cs="Arial"/>
        </w:rPr>
        <w:t xml:space="preserve">not more than </w:t>
      </w:r>
      <w:r w:rsidR="00E56962" w:rsidRPr="00C17E8E">
        <w:rPr>
          <w:rFonts w:cs="Arial"/>
        </w:rPr>
        <w:t>£</w:t>
      </w:r>
      <w:r w:rsidR="00195E99">
        <w:rPr>
          <w:rFonts w:cs="Arial"/>
        </w:rPr>
        <w:t>51,230</w:t>
      </w:r>
      <w:r w:rsidR="00E56962" w:rsidRPr="00C17E8E">
        <w:rPr>
          <w:rFonts w:cs="Arial"/>
        </w:rPr>
        <w:t>).</w:t>
      </w:r>
      <w:r w:rsidR="00502F5E">
        <w:rPr>
          <w:rFonts w:cs="Arial"/>
        </w:rPr>
        <w:t xml:space="preserve"> The total </w:t>
      </w:r>
      <w:r w:rsidR="00502F5E">
        <w:rPr>
          <w:rFonts w:cs="Arial"/>
        </w:rPr>
        <w:lastRenderedPageBreak/>
        <w:t>purchase cost is £7,539,230</w:t>
      </w:r>
      <w:r w:rsidR="0074651F">
        <w:rPr>
          <w:rFonts w:cs="Arial"/>
        </w:rPr>
        <w:t xml:space="preserve">. </w:t>
      </w:r>
      <w:r w:rsidR="002A6B41">
        <w:rPr>
          <w:rFonts w:cs="Arial"/>
        </w:rPr>
        <w:t>A purchase at this level equates to an adjusted N</w:t>
      </w:r>
      <w:r w:rsidR="00917EBB">
        <w:rPr>
          <w:rFonts w:cs="Arial"/>
        </w:rPr>
        <w:t>et Initial Yield</w:t>
      </w:r>
      <w:r w:rsidR="002A6B41">
        <w:rPr>
          <w:rFonts w:cs="Arial"/>
        </w:rPr>
        <w:t xml:space="preserve"> of </w:t>
      </w:r>
      <w:r w:rsidR="00416AF0">
        <w:rPr>
          <w:rFonts w:cs="Arial"/>
        </w:rPr>
        <w:t>3.91</w:t>
      </w:r>
      <w:r w:rsidR="002A6B41">
        <w:rPr>
          <w:rFonts w:cs="Arial"/>
        </w:rPr>
        <w:t>%</w:t>
      </w:r>
      <w:r w:rsidR="0074651F">
        <w:rPr>
          <w:rFonts w:cs="Arial"/>
        </w:rPr>
        <w:t xml:space="preserve"> which is</w:t>
      </w:r>
      <w:r w:rsidR="006F090E">
        <w:rPr>
          <w:rFonts w:cs="Arial"/>
        </w:rPr>
        <w:t xml:space="preserve"> supported by </w:t>
      </w:r>
      <w:r w:rsidR="00E51CC8">
        <w:rPr>
          <w:rFonts w:cs="Arial"/>
        </w:rPr>
        <w:t xml:space="preserve">a </w:t>
      </w:r>
      <w:r w:rsidR="00574AC2">
        <w:rPr>
          <w:rFonts w:cs="Arial"/>
        </w:rPr>
        <w:t xml:space="preserve">formal </w:t>
      </w:r>
      <w:r w:rsidR="00E51CC8">
        <w:rPr>
          <w:rFonts w:cs="Arial"/>
        </w:rPr>
        <w:t>valuation</w:t>
      </w:r>
      <w:r w:rsidR="00574AC2">
        <w:rPr>
          <w:rFonts w:cs="Arial"/>
        </w:rPr>
        <w:t xml:space="preserve"> from Jones Lang LaSalle</w:t>
      </w:r>
      <w:r w:rsidR="00F12C20">
        <w:rPr>
          <w:rFonts w:cs="Arial"/>
        </w:rPr>
        <w:t xml:space="preserve">, which is a statutory requirement </w:t>
      </w:r>
      <w:r w:rsidR="006F790A">
        <w:rPr>
          <w:rFonts w:cs="Arial"/>
        </w:rPr>
        <w:t>under Section 123 of the Local Government Act 1972</w:t>
      </w:r>
      <w:r w:rsidR="0074651F" w:rsidRPr="0074651F">
        <w:rPr>
          <w:rFonts w:cs="Arial"/>
        </w:rPr>
        <w:t xml:space="preserve"> </w:t>
      </w:r>
      <w:r w:rsidR="0074651F">
        <w:rPr>
          <w:rFonts w:cs="Arial"/>
        </w:rPr>
        <w:t>to demonstrate that the Council has acquired the property at a fair value.</w:t>
      </w:r>
    </w:p>
    <w:p w:rsidR="00242607" w:rsidRPr="00ED006C" w:rsidRDefault="00242607" w:rsidP="00ED006C">
      <w:pPr>
        <w:rPr>
          <w:rFonts w:cs="Arial"/>
        </w:rPr>
      </w:pPr>
    </w:p>
    <w:p w:rsidR="00142C87" w:rsidRPr="00142C87" w:rsidRDefault="00142C87" w:rsidP="00142C87">
      <w:pPr>
        <w:ind w:firstLine="567"/>
        <w:rPr>
          <w:rFonts w:cs="Arial"/>
          <w:u w:val="single"/>
        </w:rPr>
      </w:pPr>
      <w:r w:rsidRPr="00142C87">
        <w:rPr>
          <w:rFonts w:cs="Arial"/>
          <w:u w:val="single"/>
        </w:rPr>
        <w:t>5 Queen Street</w:t>
      </w:r>
    </w:p>
    <w:p w:rsidR="00142C87" w:rsidRPr="00242607" w:rsidRDefault="00142C87" w:rsidP="00242607">
      <w:pPr>
        <w:pStyle w:val="ListParagraph"/>
        <w:rPr>
          <w:rFonts w:cs="Arial"/>
        </w:rPr>
      </w:pPr>
    </w:p>
    <w:p w:rsidR="00394D19" w:rsidRPr="00F60F74" w:rsidRDefault="003526B5" w:rsidP="00394D19">
      <w:pPr>
        <w:pStyle w:val="ListParagraph"/>
        <w:numPr>
          <w:ilvl w:val="0"/>
          <w:numId w:val="3"/>
        </w:numPr>
        <w:ind w:left="567" w:hanging="567"/>
        <w:jc w:val="both"/>
        <w:rPr>
          <w:rFonts w:cs="Arial"/>
        </w:rPr>
      </w:pPr>
      <w:r w:rsidRPr="00F60F74">
        <w:rPr>
          <w:rFonts w:cs="Arial"/>
        </w:rPr>
        <w:t>5 Qu</w:t>
      </w:r>
      <w:r w:rsidR="00036FF7">
        <w:rPr>
          <w:rFonts w:cs="Arial"/>
        </w:rPr>
        <w:t>een Street currently comprises ground and b</w:t>
      </w:r>
      <w:r w:rsidRPr="00F60F74">
        <w:rPr>
          <w:rFonts w:cs="Arial"/>
        </w:rPr>
        <w:t>asement retail with storage above, and the City Council as freeholder is entitled to 12% of the rents received, currently £13,200</w:t>
      </w:r>
      <w:r w:rsidR="00036FF7">
        <w:rPr>
          <w:rFonts w:cs="Arial"/>
        </w:rPr>
        <w:t xml:space="preserve"> </w:t>
      </w:r>
      <w:r w:rsidRPr="00F60F74">
        <w:rPr>
          <w:rFonts w:cs="Arial"/>
        </w:rPr>
        <w:t>p</w:t>
      </w:r>
      <w:r w:rsidR="00E517F6">
        <w:rPr>
          <w:rFonts w:cs="Arial"/>
        </w:rPr>
        <w:t xml:space="preserve">er </w:t>
      </w:r>
      <w:r w:rsidRPr="00F60F74">
        <w:rPr>
          <w:rFonts w:cs="Arial"/>
        </w:rPr>
        <w:t>a</w:t>
      </w:r>
      <w:r w:rsidR="00E517F6">
        <w:rPr>
          <w:rFonts w:cs="Arial"/>
        </w:rPr>
        <w:t>nnum</w:t>
      </w:r>
      <w:r w:rsidRPr="00F60F74">
        <w:rPr>
          <w:rFonts w:cs="Arial"/>
        </w:rPr>
        <w:t xml:space="preserve"> based on the letting to</w:t>
      </w:r>
      <w:r w:rsidR="00917EBB">
        <w:rPr>
          <w:rFonts w:cs="Arial"/>
        </w:rPr>
        <w:t xml:space="preserve"> the current tenant, EAT.</w:t>
      </w:r>
      <w:r w:rsidR="00F60F74">
        <w:rPr>
          <w:rFonts w:cs="Arial"/>
        </w:rPr>
        <w:t xml:space="preserve">  BA/</w:t>
      </w:r>
      <w:r w:rsidR="00394D19" w:rsidRPr="00F60F74">
        <w:rPr>
          <w:rFonts w:cs="Arial"/>
        </w:rPr>
        <w:t>REEF is proposing 4 storeys of student accommodation above the retail which might deliver another £6-7,000</w:t>
      </w:r>
      <w:r w:rsidR="001B3959">
        <w:rPr>
          <w:rFonts w:cs="Arial"/>
        </w:rPr>
        <w:t xml:space="preserve"> </w:t>
      </w:r>
      <w:r w:rsidR="00394D19" w:rsidRPr="00F60F74">
        <w:rPr>
          <w:rFonts w:cs="Arial"/>
        </w:rPr>
        <w:t>p</w:t>
      </w:r>
      <w:r w:rsidR="00E517F6">
        <w:rPr>
          <w:rFonts w:cs="Arial"/>
        </w:rPr>
        <w:t xml:space="preserve">er </w:t>
      </w:r>
      <w:r w:rsidR="00394D19" w:rsidRPr="00F60F74">
        <w:rPr>
          <w:rFonts w:cs="Arial"/>
        </w:rPr>
        <w:t>a</w:t>
      </w:r>
      <w:r w:rsidR="00E517F6">
        <w:rPr>
          <w:rFonts w:cs="Arial"/>
        </w:rPr>
        <w:t>nnum</w:t>
      </w:r>
      <w:r w:rsidR="00394D19" w:rsidRPr="00F60F74">
        <w:rPr>
          <w:rFonts w:cs="Arial"/>
        </w:rPr>
        <w:t xml:space="preserve"> to the City Council based on 12% of the likely rents received for this use, but the </w:t>
      </w:r>
      <w:r w:rsidR="008D0A38">
        <w:rPr>
          <w:rFonts w:cs="Arial"/>
        </w:rPr>
        <w:t xml:space="preserve">majority of the value is in </w:t>
      </w:r>
      <w:r w:rsidR="00394D19" w:rsidRPr="00F60F74">
        <w:rPr>
          <w:rFonts w:cs="Arial"/>
        </w:rPr>
        <w:t>the new and improved retail to be provided on Queen Street.</w:t>
      </w:r>
    </w:p>
    <w:p w:rsidR="003526B5" w:rsidRDefault="003526B5" w:rsidP="00757F4D">
      <w:pPr>
        <w:pStyle w:val="ListParagraph"/>
        <w:ind w:left="567"/>
        <w:jc w:val="both"/>
        <w:rPr>
          <w:rFonts w:cs="Arial"/>
        </w:rPr>
      </w:pPr>
    </w:p>
    <w:p w:rsidR="003A46B8" w:rsidRPr="00C17E8E" w:rsidRDefault="0074651F" w:rsidP="00FB24CF">
      <w:pPr>
        <w:pStyle w:val="ListParagraph"/>
        <w:numPr>
          <w:ilvl w:val="0"/>
          <w:numId w:val="3"/>
        </w:numPr>
        <w:ind w:left="567" w:hanging="567"/>
        <w:jc w:val="both"/>
        <w:rPr>
          <w:rFonts w:cs="Arial"/>
        </w:rPr>
      </w:pPr>
      <w:r>
        <w:rPr>
          <w:rFonts w:cs="Arial"/>
        </w:rPr>
        <w:t>W</w:t>
      </w:r>
      <w:r w:rsidR="00977E2D" w:rsidRPr="00C17E8E">
        <w:rPr>
          <w:rFonts w:cs="Arial"/>
        </w:rPr>
        <w:t xml:space="preserve">e </w:t>
      </w:r>
      <w:r>
        <w:rPr>
          <w:rFonts w:cs="Arial"/>
        </w:rPr>
        <w:t>have</w:t>
      </w:r>
      <w:r w:rsidR="00CE15AF" w:rsidRPr="00C17E8E">
        <w:rPr>
          <w:rFonts w:cs="Arial"/>
        </w:rPr>
        <w:t xml:space="preserve"> </w:t>
      </w:r>
      <w:r w:rsidR="00977E2D" w:rsidRPr="00C17E8E">
        <w:rPr>
          <w:rFonts w:cs="Arial"/>
        </w:rPr>
        <w:t xml:space="preserve">agreed </w:t>
      </w:r>
      <w:r w:rsidR="00254D9F">
        <w:rPr>
          <w:rFonts w:cs="Arial"/>
        </w:rPr>
        <w:t xml:space="preserve">with </w:t>
      </w:r>
      <w:r w:rsidR="00977E2D" w:rsidRPr="00C17E8E">
        <w:rPr>
          <w:rFonts w:cs="Arial"/>
        </w:rPr>
        <w:t xml:space="preserve">BA/REEF </w:t>
      </w:r>
      <w:r>
        <w:rPr>
          <w:rFonts w:cs="Arial"/>
        </w:rPr>
        <w:t>that it will</w:t>
      </w:r>
      <w:r w:rsidR="00254D9F">
        <w:rPr>
          <w:rFonts w:cs="Arial"/>
        </w:rPr>
        <w:t xml:space="preserve"> </w:t>
      </w:r>
      <w:r w:rsidR="00977E2D" w:rsidRPr="00C17E8E">
        <w:rPr>
          <w:rFonts w:cs="Arial"/>
        </w:rPr>
        <w:t>underwrite a minimum rent of £25,000</w:t>
      </w:r>
      <w:r w:rsidR="00A01708">
        <w:rPr>
          <w:rFonts w:cs="Arial"/>
        </w:rPr>
        <w:t xml:space="preserve"> </w:t>
      </w:r>
      <w:r w:rsidR="00977E2D" w:rsidRPr="00C17E8E">
        <w:rPr>
          <w:rFonts w:cs="Arial"/>
        </w:rPr>
        <w:t>p</w:t>
      </w:r>
      <w:r w:rsidR="00E517F6">
        <w:rPr>
          <w:rFonts w:cs="Arial"/>
        </w:rPr>
        <w:t xml:space="preserve">er </w:t>
      </w:r>
      <w:r w:rsidR="00977E2D" w:rsidRPr="00C17E8E">
        <w:rPr>
          <w:rFonts w:cs="Arial"/>
        </w:rPr>
        <w:t>a</w:t>
      </w:r>
      <w:r w:rsidR="00E517F6">
        <w:rPr>
          <w:rFonts w:cs="Arial"/>
        </w:rPr>
        <w:t>nnum</w:t>
      </w:r>
      <w:r w:rsidR="00977E2D" w:rsidRPr="00C17E8E">
        <w:rPr>
          <w:rFonts w:cs="Arial"/>
        </w:rPr>
        <w:t xml:space="preserve"> on 5 Queen Street</w:t>
      </w:r>
      <w:r w:rsidR="00254D9F">
        <w:rPr>
          <w:rFonts w:cs="Arial"/>
        </w:rPr>
        <w:t xml:space="preserve">, which is £11,800 per annum more than the rent currently received by the City Council.  </w:t>
      </w:r>
      <w:r w:rsidR="00641886">
        <w:rPr>
          <w:rFonts w:cs="Arial"/>
        </w:rPr>
        <w:t xml:space="preserve">This rent ‘collar’ is predicated on a fair assessment of the Estimated Rental Value of the new retail unit and the rent receivable on the student accommodation above.  </w:t>
      </w:r>
      <w:r w:rsidR="00254D9F">
        <w:rPr>
          <w:rFonts w:cs="Arial"/>
        </w:rPr>
        <w:t>The new rent aside, it is proposed the City Council consents</w:t>
      </w:r>
      <w:r w:rsidR="00977E2D" w:rsidRPr="00C17E8E">
        <w:rPr>
          <w:rFonts w:cs="Arial"/>
        </w:rPr>
        <w:t xml:space="preserve"> to (a) the proposed alterations to the Demised Premises (b) a variation to the Authorised Use to permit Class C3 residential use (c) a variation to the alienation provisions</w:t>
      </w:r>
      <w:r w:rsidR="00254D9F">
        <w:rPr>
          <w:rFonts w:cs="Arial"/>
        </w:rPr>
        <w:t>.</w:t>
      </w:r>
      <w:r w:rsidR="00F56B1C" w:rsidRPr="00C17E8E">
        <w:rPr>
          <w:rFonts w:cs="Arial"/>
        </w:rPr>
        <w:t xml:space="preserve">  </w:t>
      </w:r>
    </w:p>
    <w:p w:rsidR="00F56B1C" w:rsidRPr="00F56B1C" w:rsidRDefault="00F56B1C" w:rsidP="00F56B1C">
      <w:pPr>
        <w:pStyle w:val="ListParagraph"/>
        <w:rPr>
          <w:rFonts w:cs="Arial"/>
        </w:rPr>
      </w:pPr>
    </w:p>
    <w:p w:rsidR="007B6E54" w:rsidRPr="007B6E54" w:rsidRDefault="007B6E54" w:rsidP="00C25A18">
      <w:pPr>
        <w:jc w:val="both"/>
        <w:rPr>
          <w:rFonts w:cs="Arial"/>
          <w:b/>
        </w:rPr>
      </w:pPr>
      <w:r w:rsidRPr="007B6E54">
        <w:rPr>
          <w:rFonts w:cs="Arial"/>
          <w:b/>
        </w:rPr>
        <w:t>Legal Issues</w:t>
      </w:r>
    </w:p>
    <w:p w:rsidR="002849F1" w:rsidRDefault="002849F1" w:rsidP="002849F1">
      <w:pPr>
        <w:jc w:val="both"/>
        <w:rPr>
          <w:rFonts w:cs="Arial"/>
        </w:rPr>
      </w:pPr>
    </w:p>
    <w:p w:rsidR="009B0B4B" w:rsidRDefault="009B0B4B" w:rsidP="009B0B4B">
      <w:pPr>
        <w:pStyle w:val="ListParagraph"/>
        <w:numPr>
          <w:ilvl w:val="0"/>
          <w:numId w:val="3"/>
        </w:numPr>
        <w:ind w:left="567" w:hanging="567"/>
        <w:jc w:val="both"/>
        <w:rPr>
          <w:rFonts w:cs="Arial"/>
        </w:rPr>
      </w:pPr>
      <w:r w:rsidRPr="00B26E7A">
        <w:rPr>
          <w:rFonts w:cs="Arial"/>
        </w:rPr>
        <w:t>By acquiring the long leasehold interest</w:t>
      </w:r>
      <w:r w:rsidR="0074651F">
        <w:rPr>
          <w:rFonts w:cs="Arial"/>
        </w:rPr>
        <w:t xml:space="preserve"> in S</w:t>
      </w:r>
      <w:r w:rsidR="00A73A5E">
        <w:rPr>
          <w:rFonts w:cs="Arial"/>
        </w:rPr>
        <w:t>AC</w:t>
      </w:r>
      <w:r w:rsidRPr="00B26E7A">
        <w:rPr>
          <w:rFonts w:cs="Arial"/>
        </w:rPr>
        <w:t>, it gives the City Council the ability to regularise any anomalies in the occupational lease (e.g. the lack of disregard for tenant’s improvements and the abnormal 14 year review pattern) or indeed collapse the occupational</w:t>
      </w:r>
      <w:r w:rsidR="00917EBB">
        <w:rPr>
          <w:rFonts w:cs="Arial"/>
        </w:rPr>
        <w:t xml:space="preserve"> lease</w:t>
      </w:r>
      <w:r w:rsidRPr="00B26E7A">
        <w:rPr>
          <w:rFonts w:cs="Arial"/>
        </w:rPr>
        <w:t>.</w:t>
      </w:r>
      <w:r w:rsidR="00B26E7A" w:rsidRPr="00B26E7A">
        <w:rPr>
          <w:rFonts w:cs="Arial"/>
        </w:rPr>
        <w:t xml:space="preserve">  The City Council would also have the option of undertaking a sale and leaseback at some point in the future if corporate objectives were to change.</w:t>
      </w:r>
    </w:p>
    <w:p w:rsidR="00C13F4B" w:rsidRDefault="00C13F4B" w:rsidP="00C25A18">
      <w:pPr>
        <w:jc w:val="both"/>
        <w:rPr>
          <w:rFonts w:cs="Arial"/>
          <w:b/>
        </w:rPr>
      </w:pPr>
    </w:p>
    <w:p w:rsidR="007B6E54" w:rsidRDefault="007B6E54" w:rsidP="00C25A18">
      <w:pPr>
        <w:jc w:val="both"/>
        <w:rPr>
          <w:rFonts w:cs="Arial"/>
          <w:b/>
        </w:rPr>
      </w:pPr>
      <w:r w:rsidRPr="007B6E54">
        <w:rPr>
          <w:rFonts w:cs="Arial"/>
          <w:b/>
        </w:rPr>
        <w:t>Financial Issues</w:t>
      </w:r>
    </w:p>
    <w:p w:rsidR="007B6E54" w:rsidRPr="005B1CA7" w:rsidRDefault="007B6E54" w:rsidP="00C25A18">
      <w:pPr>
        <w:jc w:val="both"/>
        <w:rPr>
          <w:rFonts w:cs="Arial"/>
        </w:rPr>
      </w:pPr>
    </w:p>
    <w:p w:rsidR="005C1BFF" w:rsidRDefault="001F26DE" w:rsidP="003F5454">
      <w:pPr>
        <w:pStyle w:val="ListParagraph"/>
        <w:numPr>
          <w:ilvl w:val="0"/>
          <w:numId w:val="3"/>
        </w:numPr>
        <w:ind w:left="567" w:hanging="567"/>
        <w:jc w:val="both"/>
        <w:rPr>
          <w:rFonts w:cs="Arial"/>
        </w:rPr>
      </w:pPr>
      <w:r>
        <w:rPr>
          <w:rFonts w:cs="Arial"/>
        </w:rPr>
        <w:t xml:space="preserve">The City Council’s </w:t>
      </w:r>
      <w:r w:rsidR="001A4F75">
        <w:rPr>
          <w:rFonts w:cs="Arial"/>
        </w:rPr>
        <w:t>Capital Programme includes a budget for property acquisition</w:t>
      </w:r>
      <w:r w:rsidR="00E67EC5">
        <w:rPr>
          <w:rFonts w:cs="Arial"/>
        </w:rPr>
        <w:t>s</w:t>
      </w:r>
      <w:r w:rsidR="001A4F75">
        <w:rPr>
          <w:rFonts w:cs="Arial"/>
        </w:rPr>
        <w:t xml:space="preserve"> of </w:t>
      </w:r>
      <w:r w:rsidR="003F5454">
        <w:rPr>
          <w:rFonts w:cs="Arial"/>
        </w:rPr>
        <w:t>£7</w:t>
      </w:r>
      <w:r w:rsidR="00E67EC5">
        <w:rPr>
          <w:rFonts w:cs="Arial"/>
        </w:rPr>
        <w:t>,000,000</w:t>
      </w:r>
      <w:r w:rsidR="007464BB">
        <w:rPr>
          <w:rFonts w:cs="Arial"/>
        </w:rPr>
        <w:t xml:space="preserve"> in 2014-15 which is £539,230 short of the overall acquisition costs for S</w:t>
      </w:r>
      <w:r w:rsidR="00F61420">
        <w:rPr>
          <w:rFonts w:cs="Arial"/>
        </w:rPr>
        <w:t>AC</w:t>
      </w:r>
      <w:r w:rsidR="004977C4">
        <w:rPr>
          <w:rFonts w:cs="Arial"/>
        </w:rPr>
        <w:t>.</w:t>
      </w:r>
    </w:p>
    <w:p w:rsidR="004977C4" w:rsidRDefault="004977C4" w:rsidP="004977C4">
      <w:pPr>
        <w:pStyle w:val="ListParagraph"/>
        <w:ind w:left="567"/>
        <w:jc w:val="both"/>
        <w:rPr>
          <w:rFonts w:cs="Arial"/>
        </w:rPr>
      </w:pPr>
    </w:p>
    <w:p w:rsidR="00F61420" w:rsidRDefault="00777CED" w:rsidP="003F5454">
      <w:pPr>
        <w:pStyle w:val="ListParagraph"/>
        <w:numPr>
          <w:ilvl w:val="0"/>
          <w:numId w:val="3"/>
        </w:numPr>
        <w:ind w:left="567" w:hanging="567"/>
        <w:jc w:val="both"/>
        <w:rPr>
          <w:rFonts w:cs="Arial"/>
        </w:rPr>
      </w:pPr>
      <w:r>
        <w:rPr>
          <w:rFonts w:cs="Arial"/>
        </w:rPr>
        <w:t xml:space="preserve">In order for this transaction to be completed a recommendation will need to be made to Council to increase the Capital </w:t>
      </w:r>
      <w:r w:rsidR="005C1BFF">
        <w:rPr>
          <w:rFonts w:cs="Arial"/>
        </w:rPr>
        <w:t>b</w:t>
      </w:r>
      <w:r>
        <w:rPr>
          <w:rFonts w:cs="Arial"/>
        </w:rPr>
        <w:t>udget in 2014-15 by</w:t>
      </w:r>
      <w:r w:rsidR="00CE2391">
        <w:rPr>
          <w:rFonts w:cs="Arial"/>
        </w:rPr>
        <w:t xml:space="preserve"> </w:t>
      </w:r>
      <w:r w:rsidR="006B20FE">
        <w:rPr>
          <w:rFonts w:cs="Arial"/>
        </w:rPr>
        <w:t>£</w:t>
      </w:r>
      <w:r w:rsidR="00C5376D">
        <w:rPr>
          <w:rFonts w:cs="Arial"/>
        </w:rPr>
        <w:t>539,230</w:t>
      </w:r>
      <w:r w:rsidR="003F5454">
        <w:rPr>
          <w:rFonts w:cs="Arial"/>
        </w:rPr>
        <w:t>.</w:t>
      </w:r>
      <w:r w:rsidR="005C1BFF">
        <w:rPr>
          <w:rFonts w:cs="Arial"/>
        </w:rPr>
        <w:t xml:space="preserve"> </w:t>
      </w:r>
      <w:r w:rsidR="00461EC6">
        <w:rPr>
          <w:rFonts w:cs="Arial"/>
        </w:rPr>
        <w:t xml:space="preserve"> </w:t>
      </w:r>
      <w:r w:rsidR="005C1BFF">
        <w:rPr>
          <w:rFonts w:cs="Arial"/>
        </w:rPr>
        <w:t>This can be funded from forecast underspends in the General Fund Revenue Budget that are currently indicated for 2014-15.</w:t>
      </w:r>
    </w:p>
    <w:p w:rsidR="005C1BFF" w:rsidRDefault="005C1BFF" w:rsidP="00F61420">
      <w:pPr>
        <w:pStyle w:val="ListParagraph"/>
        <w:ind w:left="567"/>
        <w:jc w:val="both"/>
        <w:rPr>
          <w:rFonts w:cs="Arial"/>
        </w:rPr>
      </w:pPr>
      <w:r>
        <w:rPr>
          <w:rFonts w:cs="Arial"/>
        </w:rPr>
        <w:t xml:space="preserve"> </w:t>
      </w:r>
    </w:p>
    <w:p w:rsidR="003F5454" w:rsidRDefault="005C1BFF" w:rsidP="003F5454">
      <w:pPr>
        <w:pStyle w:val="ListParagraph"/>
        <w:numPr>
          <w:ilvl w:val="0"/>
          <w:numId w:val="3"/>
        </w:numPr>
        <w:ind w:left="567" w:hanging="567"/>
        <w:jc w:val="both"/>
        <w:rPr>
          <w:rFonts w:cs="Arial"/>
        </w:rPr>
      </w:pPr>
      <w:r>
        <w:rPr>
          <w:rFonts w:cs="Arial"/>
        </w:rPr>
        <w:t xml:space="preserve">Members should be aware that the </w:t>
      </w:r>
      <w:r w:rsidR="008B1BB6">
        <w:rPr>
          <w:rFonts w:cs="Arial"/>
        </w:rPr>
        <w:t>savings</w:t>
      </w:r>
      <w:r w:rsidR="0074651F">
        <w:rPr>
          <w:rFonts w:cs="Arial"/>
        </w:rPr>
        <w:t xml:space="preserve"> in rental costs </w:t>
      </w:r>
      <w:r>
        <w:rPr>
          <w:rFonts w:cs="Arial"/>
        </w:rPr>
        <w:t xml:space="preserve">of </w:t>
      </w:r>
      <w:r w:rsidR="008B1BB6">
        <w:rPr>
          <w:rFonts w:cs="Arial"/>
        </w:rPr>
        <w:t xml:space="preserve">St </w:t>
      </w:r>
      <w:proofErr w:type="spellStart"/>
      <w:r w:rsidR="008B1BB6">
        <w:rPr>
          <w:rFonts w:cs="Arial"/>
        </w:rPr>
        <w:t>Aldate</w:t>
      </w:r>
      <w:r w:rsidR="000B403D">
        <w:rPr>
          <w:rFonts w:cs="Arial"/>
        </w:rPr>
        <w:t>’</w:t>
      </w:r>
      <w:r w:rsidR="008B1BB6">
        <w:rPr>
          <w:rFonts w:cs="Arial"/>
        </w:rPr>
        <w:t>s</w:t>
      </w:r>
      <w:proofErr w:type="spellEnd"/>
      <w:r w:rsidR="008B1BB6">
        <w:rPr>
          <w:rFonts w:cs="Arial"/>
        </w:rPr>
        <w:t xml:space="preserve"> Chambers </w:t>
      </w:r>
      <w:r>
        <w:rPr>
          <w:rFonts w:cs="Arial"/>
        </w:rPr>
        <w:t>has already been factored into the Medium Term Financial Plan that will be recommended to Council in February 2014.</w:t>
      </w:r>
    </w:p>
    <w:p w:rsidR="003F5454" w:rsidRDefault="003F5454" w:rsidP="003F5454">
      <w:pPr>
        <w:pStyle w:val="ListParagraph"/>
        <w:ind w:left="567"/>
        <w:jc w:val="both"/>
        <w:rPr>
          <w:rFonts w:cs="Arial"/>
        </w:rPr>
      </w:pPr>
    </w:p>
    <w:p w:rsidR="003F5454" w:rsidRPr="003F5454" w:rsidRDefault="003F5454" w:rsidP="003F5454">
      <w:pPr>
        <w:pStyle w:val="ListParagraph"/>
        <w:numPr>
          <w:ilvl w:val="0"/>
          <w:numId w:val="3"/>
        </w:numPr>
        <w:ind w:left="567" w:hanging="567"/>
        <w:jc w:val="both"/>
        <w:rPr>
          <w:rFonts w:cs="Arial"/>
        </w:rPr>
      </w:pPr>
      <w:r w:rsidRPr="003F5454">
        <w:rPr>
          <w:rFonts w:cs="Arial"/>
        </w:rPr>
        <w:t>The acquisition of the SAC lease and the varying of the lease on 5 Queen Street will have the following financial implications to the Council</w:t>
      </w:r>
      <w:r w:rsidR="00E67EC5">
        <w:rPr>
          <w:rFonts w:cs="Arial"/>
        </w:rPr>
        <w:t>:-</w:t>
      </w:r>
    </w:p>
    <w:p w:rsidR="00467D19" w:rsidRDefault="00467D19" w:rsidP="00ED006C">
      <w:pPr>
        <w:ind w:left="567" w:hanging="567"/>
        <w:jc w:val="both"/>
        <w:rPr>
          <w:rFonts w:cs="Arial"/>
        </w:rPr>
      </w:pPr>
    </w:p>
    <w:tbl>
      <w:tblPr>
        <w:tblStyle w:val="TableGrid"/>
        <w:tblW w:w="0" w:type="auto"/>
        <w:tblInd w:w="567" w:type="dxa"/>
        <w:tblLook w:val="04A0" w:firstRow="1" w:lastRow="0" w:firstColumn="1" w:lastColumn="0" w:noHBand="0" w:noVBand="1"/>
      </w:tblPr>
      <w:tblGrid>
        <w:gridCol w:w="5920"/>
        <w:gridCol w:w="2035"/>
      </w:tblGrid>
      <w:tr w:rsidR="00F72680" w:rsidTr="00FC1722">
        <w:tc>
          <w:tcPr>
            <w:tcW w:w="7955" w:type="dxa"/>
            <w:gridSpan w:val="2"/>
          </w:tcPr>
          <w:p w:rsidR="00F72680" w:rsidRDefault="00F72680" w:rsidP="006B20FE">
            <w:pPr>
              <w:jc w:val="both"/>
              <w:rPr>
                <w:rFonts w:cs="Arial"/>
              </w:rPr>
            </w:pPr>
            <w:r>
              <w:rPr>
                <w:rFonts w:cs="Arial"/>
              </w:rPr>
              <w:t>Table 1 Financial Implications of Transactions</w:t>
            </w:r>
          </w:p>
        </w:tc>
      </w:tr>
      <w:tr w:rsidR="00F72680" w:rsidTr="00F72680">
        <w:tc>
          <w:tcPr>
            <w:tcW w:w="5920" w:type="dxa"/>
          </w:tcPr>
          <w:p w:rsidR="00F72680" w:rsidRDefault="00F72680" w:rsidP="006B20FE">
            <w:pPr>
              <w:jc w:val="both"/>
              <w:rPr>
                <w:rFonts w:cs="Arial"/>
              </w:rPr>
            </w:pPr>
          </w:p>
        </w:tc>
        <w:tc>
          <w:tcPr>
            <w:tcW w:w="2035" w:type="dxa"/>
          </w:tcPr>
          <w:p w:rsidR="00F72680" w:rsidRDefault="00F72680" w:rsidP="00F61420">
            <w:pPr>
              <w:jc w:val="right"/>
              <w:rPr>
                <w:rFonts w:cs="Arial"/>
              </w:rPr>
            </w:pPr>
            <w:r>
              <w:rPr>
                <w:rFonts w:cs="Arial"/>
              </w:rPr>
              <w:t>£</w:t>
            </w:r>
          </w:p>
        </w:tc>
      </w:tr>
      <w:tr w:rsidR="00F72680" w:rsidTr="00F72680">
        <w:tc>
          <w:tcPr>
            <w:tcW w:w="5920" w:type="dxa"/>
          </w:tcPr>
          <w:p w:rsidR="00F72680" w:rsidRDefault="00F72680" w:rsidP="006B20FE">
            <w:pPr>
              <w:jc w:val="both"/>
              <w:rPr>
                <w:rFonts w:cs="Arial"/>
              </w:rPr>
            </w:pPr>
            <w:r>
              <w:rPr>
                <w:rFonts w:cs="Arial"/>
              </w:rPr>
              <w:t>Capital cost of SAC</w:t>
            </w:r>
            <w:r w:rsidR="0074622E">
              <w:rPr>
                <w:rFonts w:cs="Arial"/>
              </w:rPr>
              <w:t xml:space="preserve"> (including acquisition costs)</w:t>
            </w:r>
          </w:p>
        </w:tc>
        <w:tc>
          <w:tcPr>
            <w:tcW w:w="2035" w:type="dxa"/>
          </w:tcPr>
          <w:p w:rsidR="00F72680" w:rsidRDefault="00F72680" w:rsidP="002900A0">
            <w:pPr>
              <w:jc w:val="right"/>
              <w:rPr>
                <w:rFonts w:cs="Arial"/>
              </w:rPr>
            </w:pPr>
            <w:r>
              <w:rPr>
                <w:rFonts w:cs="Arial"/>
              </w:rPr>
              <w:t>7,</w:t>
            </w:r>
            <w:r w:rsidR="002900A0">
              <w:rPr>
                <w:rFonts w:cs="Arial"/>
              </w:rPr>
              <w:t>5</w:t>
            </w:r>
            <w:r>
              <w:rPr>
                <w:rFonts w:cs="Arial"/>
              </w:rPr>
              <w:t>3</w:t>
            </w:r>
            <w:r w:rsidR="002900A0">
              <w:rPr>
                <w:rFonts w:cs="Arial"/>
              </w:rPr>
              <w:t>9</w:t>
            </w:r>
            <w:r>
              <w:rPr>
                <w:rFonts w:cs="Arial"/>
              </w:rPr>
              <w:t>,</w:t>
            </w:r>
            <w:r w:rsidR="002900A0">
              <w:rPr>
                <w:rFonts w:cs="Arial"/>
              </w:rPr>
              <w:t>23</w:t>
            </w:r>
            <w:r>
              <w:rPr>
                <w:rFonts w:cs="Arial"/>
              </w:rPr>
              <w:t>0</w:t>
            </w:r>
          </w:p>
        </w:tc>
      </w:tr>
      <w:tr w:rsidR="00F72680" w:rsidTr="00F72680">
        <w:tc>
          <w:tcPr>
            <w:tcW w:w="5920" w:type="dxa"/>
          </w:tcPr>
          <w:p w:rsidR="00F72680" w:rsidRDefault="00F72680" w:rsidP="006B20FE">
            <w:pPr>
              <w:jc w:val="both"/>
              <w:rPr>
                <w:rFonts w:cs="Arial"/>
              </w:rPr>
            </w:pPr>
          </w:p>
        </w:tc>
        <w:tc>
          <w:tcPr>
            <w:tcW w:w="2035" w:type="dxa"/>
          </w:tcPr>
          <w:p w:rsidR="00F72680" w:rsidRDefault="00F72680" w:rsidP="00F72680">
            <w:pPr>
              <w:jc w:val="right"/>
              <w:rPr>
                <w:rFonts w:cs="Arial"/>
              </w:rPr>
            </w:pPr>
          </w:p>
        </w:tc>
      </w:tr>
      <w:tr w:rsidR="00F72680" w:rsidTr="00F72680">
        <w:tc>
          <w:tcPr>
            <w:tcW w:w="5920" w:type="dxa"/>
          </w:tcPr>
          <w:p w:rsidR="00F72680" w:rsidRPr="00F72680" w:rsidRDefault="00F72680" w:rsidP="006B20FE">
            <w:pPr>
              <w:jc w:val="both"/>
              <w:rPr>
                <w:rFonts w:cs="Arial"/>
                <w:b/>
              </w:rPr>
            </w:pPr>
            <w:r w:rsidRPr="00F72680">
              <w:rPr>
                <w:rFonts w:cs="Arial"/>
                <w:b/>
              </w:rPr>
              <w:t>Revenue</w:t>
            </w:r>
          </w:p>
        </w:tc>
        <w:tc>
          <w:tcPr>
            <w:tcW w:w="2035" w:type="dxa"/>
          </w:tcPr>
          <w:p w:rsidR="00F72680" w:rsidRDefault="00F72680" w:rsidP="00F72680">
            <w:pPr>
              <w:jc w:val="right"/>
              <w:rPr>
                <w:rFonts w:cs="Arial"/>
              </w:rPr>
            </w:pPr>
          </w:p>
        </w:tc>
      </w:tr>
      <w:tr w:rsidR="00F72680" w:rsidTr="00F72680">
        <w:tc>
          <w:tcPr>
            <w:tcW w:w="5920" w:type="dxa"/>
          </w:tcPr>
          <w:p w:rsidR="00F72680" w:rsidRDefault="00F72680" w:rsidP="006B20FE">
            <w:pPr>
              <w:jc w:val="both"/>
              <w:rPr>
                <w:rFonts w:cs="Arial"/>
              </w:rPr>
            </w:pPr>
            <w:r>
              <w:rPr>
                <w:rFonts w:cs="Arial"/>
              </w:rPr>
              <w:t>Saving on existing rent for SAC</w:t>
            </w:r>
          </w:p>
        </w:tc>
        <w:tc>
          <w:tcPr>
            <w:tcW w:w="2035" w:type="dxa"/>
          </w:tcPr>
          <w:p w:rsidR="00F72680" w:rsidRDefault="00F72680" w:rsidP="002900A0">
            <w:pPr>
              <w:jc w:val="right"/>
              <w:rPr>
                <w:rFonts w:cs="Arial"/>
              </w:rPr>
            </w:pPr>
            <w:r>
              <w:rPr>
                <w:rFonts w:cs="Arial"/>
              </w:rPr>
              <w:t>300,091</w:t>
            </w:r>
          </w:p>
        </w:tc>
      </w:tr>
      <w:tr w:rsidR="00F72680" w:rsidTr="00F72680">
        <w:tc>
          <w:tcPr>
            <w:tcW w:w="5920" w:type="dxa"/>
          </w:tcPr>
          <w:p w:rsidR="00F72680" w:rsidRDefault="00F72680" w:rsidP="006B20FE">
            <w:pPr>
              <w:jc w:val="both"/>
              <w:rPr>
                <w:rFonts w:cs="Arial"/>
              </w:rPr>
            </w:pPr>
            <w:r>
              <w:rPr>
                <w:rFonts w:cs="Arial"/>
              </w:rPr>
              <w:t>Increased rent on 5 Queen Street</w:t>
            </w:r>
          </w:p>
        </w:tc>
        <w:tc>
          <w:tcPr>
            <w:tcW w:w="2035" w:type="dxa"/>
          </w:tcPr>
          <w:p w:rsidR="00F72680" w:rsidRDefault="00F72680" w:rsidP="002900A0">
            <w:pPr>
              <w:jc w:val="right"/>
              <w:rPr>
                <w:rFonts w:cs="Arial"/>
              </w:rPr>
            </w:pPr>
            <w:r>
              <w:rPr>
                <w:rFonts w:cs="Arial"/>
              </w:rPr>
              <w:t>11,800</w:t>
            </w:r>
          </w:p>
        </w:tc>
      </w:tr>
      <w:tr w:rsidR="001C417D" w:rsidTr="00F72680">
        <w:tc>
          <w:tcPr>
            <w:tcW w:w="5920" w:type="dxa"/>
          </w:tcPr>
          <w:p w:rsidR="001C417D" w:rsidRDefault="001C417D" w:rsidP="006B20FE">
            <w:pPr>
              <w:jc w:val="both"/>
              <w:rPr>
                <w:rFonts w:cs="Arial"/>
              </w:rPr>
            </w:pPr>
            <w:r>
              <w:rPr>
                <w:rFonts w:cs="Arial"/>
              </w:rPr>
              <w:t xml:space="preserve">Loss of income from </w:t>
            </w:r>
            <w:r w:rsidR="0074622E">
              <w:rPr>
                <w:rFonts w:cs="Arial"/>
              </w:rPr>
              <w:t>BA/</w:t>
            </w:r>
            <w:r>
              <w:rPr>
                <w:rFonts w:cs="Arial"/>
              </w:rPr>
              <w:t>REEF</w:t>
            </w:r>
          </w:p>
        </w:tc>
        <w:tc>
          <w:tcPr>
            <w:tcW w:w="2035" w:type="dxa"/>
          </w:tcPr>
          <w:p w:rsidR="001C417D" w:rsidRPr="003F5454" w:rsidRDefault="001C417D" w:rsidP="00F72680">
            <w:pPr>
              <w:jc w:val="right"/>
              <w:rPr>
                <w:rFonts w:cs="Arial"/>
              </w:rPr>
            </w:pPr>
            <w:r w:rsidRPr="003F5454">
              <w:rPr>
                <w:rFonts w:cs="Arial"/>
              </w:rPr>
              <w:t>(5,000)</w:t>
            </w:r>
          </w:p>
        </w:tc>
      </w:tr>
      <w:tr w:rsidR="00F72680" w:rsidTr="00F72680">
        <w:tc>
          <w:tcPr>
            <w:tcW w:w="5920" w:type="dxa"/>
          </w:tcPr>
          <w:p w:rsidR="00F72680" w:rsidRPr="003F5454" w:rsidRDefault="002E4FBB" w:rsidP="006B20FE">
            <w:pPr>
              <w:jc w:val="both"/>
              <w:rPr>
                <w:rFonts w:cs="Arial"/>
                <w:b/>
              </w:rPr>
            </w:pPr>
            <w:r w:rsidRPr="003F5454">
              <w:rPr>
                <w:rFonts w:cs="Arial"/>
                <w:b/>
              </w:rPr>
              <w:t>Total saving</w:t>
            </w:r>
          </w:p>
        </w:tc>
        <w:tc>
          <w:tcPr>
            <w:tcW w:w="2035" w:type="dxa"/>
          </w:tcPr>
          <w:p w:rsidR="00F72680" w:rsidRPr="002E4FBB" w:rsidRDefault="002E4FBB" w:rsidP="002900A0">
            <w:pPr>
              <w:jc w:val="right"/>
              <w:rPr>
                <w:rFonts w:cs="Arial"/>
                <w:b/>
              </w:rPr>
            </w:pPr>
            <w:r w:rsidRPr="002E4FBB">
              <w:rPr>
                <w:rFonts w:cs="Arial"/>
                <w:b/>
              </w:rPr>
              <w:t>3</w:t>
            </w:r>
            <w:r w:rsidR="001C417D">
              <w:rPr>
                <w:rFonts w:cs="Arial"/>
                <w:b/>
              </w:rPr>
              <w:t>06,891</w:t>
            </w:r>
          </w:p>
        </w:tc>
      </w:tr>
      <w:tr w:rsidR="002E4FBB" w:rsidTr="00F72680">
        <w:tc>
          <w:tcPr>
            <w:tcW w:w="5920" w:type="dxa"/>
          </w:tcPr>
          <w:p w:rsidR="002E4FBB" w:rsidRDefault="002E4FBB" w:rsidP="006B20FE">
            <w:pPr>
              <w:jc w:val="both"/>
              <w:rPr>
                <w:rFonts w:cs="Arial"/>
              </w:rPr>
            </w:pPr>
          </w:p>
        </w:tc>
        <w:tc>
          <w:tcPr>
            <w:tcW w:w="2035" w:type="dxa"/>
          </w:tcPr>
          <w:p w:rsidR="002E4FBB" w:rsidRDefault="002E4FBB" w:rsidP="00F72680">
            <w:pPr>
              <w:jc w:val="right"/>
              <w:rPr>
                <w:rFonts w:cs="Arial"/>
              </w:rPr>
            </w:pPr>
          </w:p>
        </w:tc>
      </w:tr>
      <w:tr w:rsidR="00F72680" w:rsidTr="00F72680">
        <w:tc>
          <w:tcPr>
            <w:tcW w:w="5920" w:type="dxa"/>
          </w:tcPr>
          <w:p w:rsidR="00F72680" w:rsidRDefault="002E4FBB" w:rsidP="006B20FE">
            <w:pPr>
              <w:jc w:val="both"/>
              <w:rPr>
                <w:rFonts w:cs="Arial"/>
              </w:rPr>
            </w:pPr>
            <w:r>
              <w:rPr>
                <w:rFonts w:cs="Arial"/>
              </w:rPr>
              <w:t xml:space="preserve">Loss of interest on investment </w:t>
            </w:r>
          </w:p>
        </w:tc>
        <w:tc>
          <w:tcPr>
            <w:tcW w:w="2035" w:type="dxa"/>
          </w:tcPr>
          <w:p w:rsidR="00F72680" w:rsidRDefault="00641DE0" w:rsidP="00641DE0">
            <w:pPr>
              <w:jc w:val="right"/>
              <w:rPr>
                <w:rFonts w:cs="Arial"/>
              </w:rPr>
            </w:pPr>
            <w:r w:rsidRPr="00F61420">
              <w:rPr>
                <w:rFonts w:cs="Arial"/>
              </w:rPr>
              <w:t>110,000</w:t>
            </w:r>
          </w:p>
        </w:tc>
      </w:tr>
      <w:tr w:rsidR="002E4FBB" w:rsidTr="00F72680">
        <w:tc>
          <w:tcPr>
            <w:tcW w:w="5920" w:type="dxa"/>
          </w:tcPr>
          <w:p w:rsidR="002E4FBB" w:rsidRDefault="002E4FBB" w:rsidP="006B20FE">
            <w:pPr>
              <w:jc w:val="both"/>
              <w:rPr>
                <w:rFonts w:cs="Arial"/>
              </w:rPr>
            </w:pPr>
          </w:p>
        </w:tc>
        <w:tc>
          <w:tcPr>
            <w:tcW w:w="2035" w:type="dxa"/>
          </w:tcPr>
          <w:p w:rsidR="002E4FBB" w:rsidRDefault="002E4FBB" w:rsidP="00F72680">
            <w:pPr>
              <w:jc w:val="right"/>
              <w:rPr>
                <w:rFonts w:cs="Arial"/>
              </w:rPr>
            </w:pPr>
          </w:p>
        </w:tc>
      </w:tr>
      <w:tr w:rsidR="002E4FBB" w:rsidTr="00F72680">
        <w:tc>
          <w:tcPr>
            <w:tcW w:w="5920" w:type="dxa"/>
          </w:tcPr>
          <w:p w:rsidR="002E4FBB" w:rsidRPr="002E4FBB" w:rsidRDefault="002E4FBB" w:rsidP="006B20FE">
            <w:pPr>
              <w:jc w:val="both"/>
              <w:rPr>
                <w:rFonts w:cs="Arial"/>
                <w:b/>
              </w:rPr>
            </w:pPr>
            <w:r w:rsidRPr="002E4FBB">
              <w:rPr>
                <w:rFonts w:cs="Arial"/>
                <w:b/>
              </w:rPr>
              <w:t>Net annual Gain on transaction</w:t>
            </w:r>
          </w:p>
        </w:tc>
        <w:tc>
          <w:tcPr>
            <w:tcW w:w="2035" w:type="dxa"/>
          </w:tcPr>
          <w:p w:rsidR="002E4FBB" w:rsidRPr="002E4FBB" w:rsidRDefault="00641DE0" w:rsidP="00FD7FD3">
            <w:pPr>
              <w:jc w:val="right"/>
              <w:rPr>
                <w:rFonts w:cs="Arial"/>
                <w:b/>
              </w:rPr>
            </w:pPr>
            <w:r>
              <w:rPr>
                <w:rFonts w:cs="Arial"/>
                <w:b/>
              </w:rPr>
              <w:t>196,891</w:t>
            </w:r>
          </w:p>
        </w:tc>
      </w:tr>
      <w:tr w:rsidR="002E4FBB" w:rsidTr="00F72680">
        <w:tc>
          <w:tcPr>
            <w:tcW w:w="5920" w:type="dxa"/>
          </w:tcPr>
          <w:p w:rsidR="002E4FBB" w:rsidRPr="002E4FBB" w:rsidRDefault="002E4FBB" w:rsidP="006B20FE">
            <w:pPr>
              <w:jc w:val="both"/>
              <w:rPr>
                <w:rFonts w:cs="Arial"/>
                <w:b/>
              </w:rPr>
            </w:pPr>
          </w:p>
        </w:tc>
        <w:tc>
          <w:tcPr>
            <w:tcW w:w="2035" w:type="dxa"/>
          </w:tcPr>
          <w:p w:rsidR="002E4FBB" w:rsidRPr="002E4FBB" w:rsidRDefault="002E4FBB" w:rsidP="00F72680">
            <w:pPr>
              <w:jc w:val="right"/>
              <w:rPr>
                <w:rFonts w:cs="Arial"/>
                <w:b/>
              </w:rPr>
            </w:pPr>
          </w:p>
        </w:tc>
      </w:tr>
      <w:tr w:rsidR="002E4FBB" w:rsidTr="00F72680">
        <w:tc>
          <w:tcPr>
            <w:tcW w:w="5920" w:type="dxa"/>
          </w:tcPr>
          <w:p w:rsidR="002E4FBB" w:rsidRPr="002E4FBB" w:rsidRDefault="002E4FBB" w:rsidP="006B20FE">
            <w:pPr>
              <w:jc w:val="both"/>
              <w:rPr>
                <w:rFonts w:cs="Arial"/>
                <w:b/>
              </w:rPr>
            </w:pPr>
            <w:r>
              <w:rPr>
                <w:rFonts w:cs="Arial"/>
                <w:b/>
              </w:rPr>
              <w:t>Percentage return compared to investment</w:t>
            </w:r>
          </w:p>
        </w:tc>
        <w:tc>
          <w:tcPr>
            <w:tcW w:w="2035" w:type="dxa"/>
          </w:tcPr>
          <w:p w:rsidR="002E4FBB" w:rsidRPr="002E4FBB" w:rsidRDefault="00434657" w:rsidP="002900A0">
            <w:pPr>
              <w:jc w:val="right"/>
              <w:rPr>
                <w:rFonts w:cs="Arial"/>
                <w:b/>
              </w:rPr>
            </w:pPr>
            <w:r>
              <w:rPr>
                <w:rFonts w:cs="Arial"/>
                <w:b/>
              </w:rPr>
              <w:t>4.07</w:t>
            </w:r>
            <w:r w:rsidR="002E4FBB">
              <w:rPr>
                <w:rFonts w:cs="Arial"/>
                <w:b/>
              </w:rPr>
              <w:t>%</w:t>
            </w:r>
          </w:p>
        </w:tc>
      </w:tr>
    </w:tbl>
    <w:p w:rsidR="00467D19" w:rsidRDefault="00467D19" w:rsidP="00ED006C">
      <w:pPr>
        <w:jc w:val="both"/>
        <w:rPr>
          <w:rFonts w:cs="Arial"/>
        </w:rPr>
      </w:pPr>
    </w:p>
    <w:p w:rsidR="00A6046C" w:rsidRPr="006B20FE" w:rsidRDefault="00A6046C" w:rsidP="00ED006C">
      <w:pPr>
        <w:jc w:val="both"/>
        <w:rPr>
          <w:rFonts w:cs="Arial"/>
        </w:rPr>
      </w:pPr>
    </w:p>
    <w:p w:rsidR="002E4FBB" w:rsidRDefault="003F5454" w:rsidP="005B1CA7">
      <w:pPr>
        <w:pStyle w:val="ListParagraph"/>
        <w:numPr>
          <w:ilvl w:val="0"/>
          <w:numId w:val="3"/>
        </w:numPr>
        <w:ind w:left="567" w:hanging="567"/>
        <w:jc w:val="both"/>
        <w:rPr>
          <w:rFonts w:cs="Arial"/>
        </w:rPr>
      </w:pPr>
      <w:r>
        <w:rPr>
          <w:rFonts w:cs="Arial"/>
        </w:rPr>
        <w:t>Should the C</w:t>
      </w:r>
      <w:r w:rsidR="002E4FBB">
        <w:rPr>
          <w:rFonts w:cs="Arial"/>
        </w:rPr>
        <w:t>ouncil not undertake the transaction there is a potential for the rent to be increased to £450,000</w:t>
      </w:r>
      <w:r w:rsidR="00797A34">
        <w:rPr>
          <w:rFonts w:cs="Arial"/>
        </w:rPr>
        <w:t>+</w:t>
      </w:r>
      <w:r w:rsidR="002E4FBB">
        <w:rPr>
          <w:rFonts w:cs="Arial"/>
        </w:rPr>
        <w:t xml:space="preserve"> </w:t>
      </w:r>
      <w:r w:rsidR="004953F4">
        <w:rPr>
          <w:rFonts w:cs="Arial"/>
        </w:rPr>
        <w:t xml:space="preserve">per annum </w:t>
      </w:r>
      <w:r w:rsidR="00EC15CA">
        <w:rPr>
          <w:rFonts w:cs="Arial"/>
        </w:rPr>
        <w:t>at the next rent review in 2023 which could produce a higher net gain for the Council against its capital investment</w:t>
      </w:r>
      <w:r>
        <w:rPr>
          <w:rFonts w:cs="Arial"/>
        </w:rPr>
        <w:t>.</w:t>
      </w:r>
    </w:p>
    <w:p w:rsidR="005B1CA7" w:rsidRPr="005B1CA7" w:rsidRDefault="005B1CA7" w:rsidP="00C25A18">
      <w:pPr>
        <w:jc w:val="both"/>
        <w:rPr>
          <w:rFonts w:cs="Arial"/>
        </w:rPr>
      </w:pPr>
    </w:p>
    <w:p w:rsidR="007B6E54" w:rsidRDefault="007B6E54" w:rsidP="00C25A18">
      <w:pPr>
        <w:jc w:val="both"/>
        <w:rPr>
          <w:rFonts w:cs="Arial"/>
          <w:b/>
        </w:rPr>
      </w:pPr>
      <w:r>
        <w:rPr>
          <w:rFonts w:cs="Arial"/>
          <w:b/>
        </w:rPr>
        <w:t>Environmental Impact</w:t>
      </w:r>
    </w:p>
    <w:p w:rsidR="007B6E54" w:rsidRPr="005B1CA7" w:rsidRDefault="007B6E54" w:rsidP="00C25A18">
      <w:pPr>
        <w:jc w:val="both"/>
        <w:rPr>
          <w:rFonts w:cs="Arial"/>
        </w:rPr>
      </w:pPr>
    </w:p>
    <w:p w:rsidR="005B1CA7" w:rsidRPr="005B1CA7" w:rsidRDefault="00E84F71" w:rsidP="005B1CA7">
      <w:pPr>
        <w:pStyle w:val="ListParagraph"/>
        <w:numPr>
          <w:ilvl w:val="0"/>
          <w:numId w:val="3"/>
        </w:numPr>
        <w:ind w:left="567" w:hanging="567"/>
        <w:jc w:val="both"/>
        <w:rPr>
          <w:rFonts w:cs="Arial"/>
        </w:rPr>
      </w:pPr>
      <w:r>
        <w:rPr>
          <w:rFonts w:cs="Arial"/>
        </w:rPr>
        <w:t>The</w:t>
      </w:r>
      <w:r w:rsidR="00E66B34">
        <w:rPr>
          <w:rFonts w:cs="Arial"/>
        </w:rPr>
        <w:t>re is no environmental impact.</w:t>
      </w:r>
    </w:p>
    <w:p w:rsidR="00E36CDA" w:rsidRPr="005B1CA7" w:rsidRDefault="00E36CDA" w:rsidP="00C25A18">
      <w:pPr>
        <w:jc w:val="both"/>
        <w:rPr>
          <w:rFonts w:cs="Arial"/>
        </w:rPr>
      </w:pPr>
    </w:p>
    <w:p w:rsidR="007B6E54" w:rsidRDefault="007B6E54" w:rsidP="00C25A18">
      <w:pPr>
        <w:jc w:val="both"/>
        <w:rPr>
          <w:rFonts w:cs="Arial"/>
        </w:rPr>
      </w:pPr>
      <w:r>
        <w:rPr>
          <w:rFonts w:cs="Arial"/>
          <w:b/>
        </w:rPr>
        <w:t>Risk</w:t>
      </w:r>
      <w:r w:rsidR="005B1CA7">
        <w:rPr>
          <w:rFonts w:cs="Arial"/>
          <w:b/>
        </w:rPr>
        <w:t xml:space="preserve"> Register</w:t>
      </w:r>
    </w:p>
    <w:p w:rsidR="007B6E54" w:rsidRPr="005B1CA7" w:rsidRDefault="007B6E54">
      <w:pPr>
        <w:rPr>
          <w:rFonts w:cs="Arial"/>
        </w:rPr>
      </w:pPr>
    </w:p>
    <w:p w:rsidR="005B1CA7" w:rsidRPr="005B1CA7" w:rsidRDefault="00385884" w:rsidP="005B1CA7">
      <w:pPr>
        <w:pStyle w:val="ListParagraph"/>
        <w:numPr>
          <w:ilvl w:val="0"/>
          <w:numId w:val="3"/>
        </w:numPr>
        <w:ind w:left="567" w:hanging="567"/>
        <w:rPr>
          <w:rFonts w:cs="Arial"/>
        </w:rPr>
      </w:pPr>
      <w:r>
        <w:rPr>
          <w:rFonts w:cs="Arial"/>
        </w:rPr>
        <w:t xml:space="preserve">The Risk Register is included as Appendix </w:t>
      </w:r>
      <w:r w:rsidR="00D35BB2">
        <w:rPr>
          <w:rFonts w:cs="Arial"/>
        </w:rPr>
        <w:t>1</w:t>
      </w:r>
      <w:r>
        <w:rPr>
          <w:rFonts w:cs="Arial"/>
        </w:rPr>
        <w:t>.</w:t>
      </w:r>
    </w:p>
    <w:p w:rsidR="00C468D9" w:rsidRPr="005B1CA7" w:rsidRDefault="00C468D9">
      <w:pPr>
        <w:rPr>
          <w:rFonts w:cs="Arial"/>
        </w:rPr>
      </w:pPr>
    </w:p>
    <w:p w:rsidR="007B6E54" w:rsidRDefault="007B6E54">
      <w:pPr>
        <w:rPr>
          <w:rFonts w:cs="Arial"/>
          <w:i/>
        </w:rPr>
      </w:pPr>
      <w:r w:rsidRPr="007B6E54">
        <w:rPr>
          <w:rFonts w:cs="Arial"/>
          <w:b/>
        </w:rPr>
        <w:t>Equalities Impact</w:t>
      </w:r>
    </w:p>
    <w:p w:rsidR="00F4367A" w:rsidRPr="00623C2F" w:rsidRDefault="00F4367A">
      <w:pPr>
        <w:rPr>
          <w:rFonts w:cs="Arial"/>
          <w:i/>
        </w:rPr>
      </w:pPr>
    </w:p>
    <w:p w:rsidR="0058481D" w:rsidRPr="005D224F" w:rsidRDefault="00E66B34" w:rsidP="00713675">
      <w:pPr>
        <w:pStyle w:val="ListParagraph"/>
        <w:numPr>
          <w:ilvl w:val="0"/>
          <w:numId w:val="3"/>
        </w:numPr>
        <w:ind w:left="567" w:hanging="567"/>
        <w:rPr>
          <w:rFonts w:cs="Arial"/>
        </w:rPr>
      </w:pPr>
      <w:r>
        <w:rPr>
          <w:rFonts w:cs="Arial"/>
        </w:rPr>
        <w:t xml:space="preserve">There </w:t>
      </w:r>
      <w:r w:rsidR="00620A83">
        <w:rPr>
          <w:rFonts w:cs="Arial"/>
        </w:rPr>
        <w:t>is no equalities impact.</w:t>
      </w:r>
    </w:p>
    <w:p w:rsidR="00A6046C" w:rsidRDefault="00A6046C"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FB3082">
              <w:t>:  Jane Winfield</w:t>
            </w:r>
          </w:p>
        </w:tc>
      </w:tr>
      <w:tr w:rsidR="00713675">
        <w:tc>
          <w:tcPr>
            <w:tcW w:w="8522" w:type="dxa"/>
          </w:tcPr>
          <w:p w:rsidR="00713675" w:rsidRDefault="00713675" w:rsidP="00FB3082">
            <w:pPr>
              <w:tabs>
                <w:tab w:val="left" w:pos="720"/>
                <w:tab w:val="left" w:pos="1440"/>
                <w:tab w:val="left" w:pos="2160"/>
                <w:tab w:val="left" w:pos="2880"/>
              </w:tabs>
            </w:pPr>
            <w:r>
              <w:t>Job title</w:t>
            </w:r>
            <w:r w:rsidR="00FB3082">
              <w:t>:  Regeneration &amp; Major Projects Service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FB3082">
              <w:t>:  Regeneration &amp; Major Projects</w:t>
            </w:r>
          </w:p>
        </w:tc>
      </w:tr>
      <w:tr w:rsidR="00713675">
        <w:tc>
          <w:tcPr>
            <w:tcW w:w="8522" w:type="dxa"/>
          </w:tcPr>
          <w:p w:rsidR="00713675" w:rsidRDefault="00713675" w:rsidP="00FB3082">
            <w:pPr>
              <w:tabs>
                <w:tab w:val="left" w:pos="720"/>
                <w:tab w:val="left" w:pos="1440"/>
                <w:tab w:val="left" w:pos="2160"/>
                <w:tab w:val="left" w:pos="2880"/>
              </w:tabs>
              <w:rPr>
                <w:color w:val="0000FF"/>
                <w:u w:val="single"/>
              </w:rPr>
            </w:pPr>
            <w:r>
              <w:t xml:space="preserve">Tel:  01865 </w:t>
            </w:r>
            <w:r w:rsidR="00FB3082">
              <w:t>252551</w:t>
            </w:r>
            <w:r>
              <w:t xml:space="preserve">  e-mail: </w:t>
            </w:r>
            <w:r w:rsidR="00FB3082">
              <w:t>jwinfield@oxford.gov.uk</w:t>
            </w:r>
            <w:r>
              <w:t xml:space="preserve"> </w:t>
            </w:r>
          </w:p>
        </w:tc>
      </w:tr>
    </w:tbl>
    <w:p w:rsidR="00623C2F" w:rsidRDefault="00623C2F" w:rsidP="00290C71">
      <w:pPr>
        <w:rPr>
          <w:rFonts w:cs="Arial"/>
          <w:bCs/>
          <w:i/>
        </w:rPr>
      </w:pPr>
    </w:p>
    <w:p w:rsidR="00B37B29" w:rsidRDefault="00B37B29" w:rsidP="00290C71">
      <w:pPr>
        <w:rPr>
          <w:rFonts w:cs="Arial"/>
          <w:b/>
          <w:bCs/>
        </w:rPr>
      </w:pPr>
      <w:r w:rsidRPr="00B37B29">
        <w:rPr>
          <w:rFonts w:cs="Arial"/>
          <w:b/>
          <w:bCs/>
        </w:rPr>
        <w:t>Background Papers</w:t>
      </w:r>
    </w:p>
    <w:p w:rsidR="00B37B29" w:rsidRPr="00B37B29" w:rsidRDefault="00B37B29" w:rsidP="00290C71">
      <w:pPr>
        <w:rPr>
          <w:rFonts w:cs="Arial"/>
          <w:bCs/>
        </w:rPr>
      </w:pPr>
    </w:p>
    <w:p w:rsidR="00B37B29" w:rsidRPr="00BC02A1" w:rsidRDefault="00B37B29" w:rsidP="00BC02A1">
      <w:pPr>
        <w:pStyle w:val="ListParagraph"/>
        <w:numPr>
          <w:ilvl w:val="0"/>
          <w:numId w:val="6"/>
        </w:numPr>
        <w:ind w:left="567" w:hanging="567"/>
        <w:rPr>
          <w:rFonts w:cs="Arial"/>
          <w:bCs/>
        </w:rPr>
      </w:pPr>
      <w:r w:rsidRPr="00BC02A1">
        <w:rPr>
          <w:rFonts w:cs="Arial"/>
          <w:bCs/>
        </w:rPr>
        <w:t>Jones Lang LaSalle</w:t>
      </w:r>
      <w:r w:rsidR="003970F1">
        <w:rPr>
          <w:rFonts w:cs="Arial"/>
          <w:bCs/>
        </w:rPr>
        <w:t>’s valuation</w:t>
      </w:r>
      <w:r w:rsidR="00BC02A1">
        <w:rPr>
          <w:rFonts w:cs="Arial"/>
          <w:bCs/>
        </w:rPr>
        <w:t>.</w:t>
      </w:r>
    </w:p>
    <w:p w:rsidR="00B37B29" w:rsidRPr="00B37B29" w:rsidRDefault="00B37B29" w:rsidP="00B37B29">
      <w:pPr>
        <w:rPr>
          <w:rFonts w:cs="Arial"/>
          <w:bCs/>
        </w:rPr>
      </w:pPr>
    </w:p>
    <w:sectPr w:rsidR="00B37B29" w:rsidRPr="00B37B29">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33C" w:rsidRDefault="0038133C">
      <w:r>
        <w:separator/>
      </w:r>
    </w:p>
  </w:endnote>
  <w:endnote w:type="continuationSeparator" w:id="0">
    <w:p w:rsidR="0038133C" w:rsidRDefault="0038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33C" w:rsidRDefault="0038133C">
      <w:r>
        <w:separator/>
      </w:r>
    </w:p>
  </w:footnote>
  <w:footnote w:type="continuationSeparator" w:id="0">
    <w:p w:rsidR="0038133C" w:rsidRDefault="00381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169DE"/>
    <w:multiLevelType w:val="hybridMultilevel"/>
    <w:tmpl w:val="0C22BCCE"/>
    <w:lvl w:ilvl="0" w:tplc="F006961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59650F"/>
    <w:multiLevelType w:val="hybridMultilevel"/>
    <w:tmpl w:val="73BC9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9A253A"/>
    <w:multiLevelType w:val="hybridMultilevel"/>
    <w:tmpl w:val="B08EB4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7B58A5"/>
    <w:multiLevelType w:val="hybridMultilevel"/>
    <w:tmpl w:val="8A127A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142B83"/>
    <w:multiLevelType w:val="multilevel"/>
    <w:tmpl w:val="F8E64B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6C3"/>
    <w:rsid w:val="00022707"/>
    <w:rsid w:val="0002772D"/>
    <w:rsid w:val="00036FF7"/>
    <w:rsid w:val="000501DD"/>
    <w:rsid w:val="00056263"/>
    <w:rsid w:val="00077C31"/>
    <w:rsid w:val="00080F6E"/>
    <w:rsid w:val="000846A5"/>
    <w:rsid w:val="00092F5D"/>
    <w:rsid w:val="000B0EDC"/>
    <w:rsid w:val="000B403D"/>
    <w:rsid w:val="000C3813"/>
    <w:rsid w:val="000C3928"/>
    <w:rsid w:val="000E67F3"/>
    <w:rsid w:val="001066E8"/>
    <w:rsid w:val="001238EB"/>
    <w:rsid w:val="00137476"/>
    <w:rsid w:val="00142C87"/>
    <w:rsid w:val="00173A9E"/>
    <w:rsid w:val="0018012E"/>
    <w:rsid w:val="00195E99"/>
    <w:rsid w:val="001A11AC"/>
    <w:rsid w:val="001A4F75"/>
    <w:rsid w:val="001A6A27"/>
    <w:rsid w:val="001B0D8C"/>
    <w:rsid w:val="001B3959"/>
    <w:rsid w:val="001B657A"/>
    <w:rsid w:val="001C417D"/>
    <w:rsid w:val="001D2CBC"/>
    <w:rsid w:val="001D46B9"/>
    <w:rsid w:val="001E3888"/>
    <w:rsid w:val="001E4723"/>
    <w:rsid w:val="001F26DE"/>
    <w:rsid w:val="00206FBA"/>
    <w:rsid w:val="002070ED"/>
    <w:rsid w:val="002076BB"/>
    <w:rsid w:val="00213086"/>
    <w:rsid w:val="0023361F"/>
    <w:rsid w:val="0023632E"/>
    <w:rsid w:val="00242607"/>
    <w:rsid w:val="0025278C"/>
    <w:rsid w:val="00254D9F"/>
    <w:rsid w:val="00262681"/>
    <w:rsid w:val="002849F1"/>
    <w:rsid w:val="00284C89"/>
    <w:rsid w:val="0028652E"/>
    <w:rsid w:val="002900A0"/>
    <w:rsid w:val="002904A1"/>
    <w:rsid w:val="00290C71"/>
    <w:rsid w:val="00293600"/>
    <w:rsid w:val="002964DA"/>
    <w:rsid w:val="002A6B41"/>
    <w:rsid w:val="002B03DC"/>
    <w:rsid w:val="002C212B"/>
    <w:rsid w:val="002E4FBB"/>
    <w:rsid w:val="002E534D"/>
    <w:rsid w:val="00303D3F"/>
    <w:rsid w:val="003069FA"/>
    <w:rsid w:val="00321A61"/>
    <w:rsid w:val="0032652A"/>
    <w:rsid w:val="00340751"/>
    <w:rsid w:val="003526B5"/>
    <w:rsid w:val="003544F2"/>
    <w:rsid w:val="0038133C"/>
    <w:rsid w:val="00383B5E"/>
    <w:rsid w:val="00385884"/>
    <w:rsid w:val="00387CD8"/>
    <w:rsid w:val="00394D19"/>
    <w:rsid w:val="003970F1"/>
    <w:rsid w:val="003A46B8"/>
    <w:rsid w:val="003B3954"/>
    <w:rsid w:val="003D14EA"/>
    <w:rsid w:val="003F2468"/>
    <w:rsid w:val="003F465B"/>
    <w:rsid w:val="003F5454"/>
    <w:rsid w:val="00415DAA"/>
    <w:rsid w:val="00416AF0"/>
    <w:rsid w:val="00421AEB"/>
    <w:rsid w:val="0043329F"/>
    <w:rsid w:val="00434657"/>
    <w:rsid w:val="004377BF"/>
    <w:rsid w:val="00450829"/>
    <w:rsid w:val="004528A6"/>
    <w:rsid w:val="00461EC6"/>
    <w:rsid w:val="00463C95"/>
    <w:rsid w:val="00465EAF"/>
    <w:rsid w:val="00467D19"/>
    <w:rsid w:val="00477549"/>
    <w:rsid w:val="004953F4"/>
    <w:rsid w:val="004977C4"/>
    <w:rsid w:val="004A4BD8"/>
    <w:rsid w:val="004B3330"/>
    <w:rsid w:val="004C2C90"/>
    <w:rsid w:val="004C61EC"/>
    <w:rsid w:val="004E0E50"/>
    <w:rsid w:val="004E4EB7"/>
    <w:rsid w:val="004E5CAC"/>
    <w:rsid w:val="004E6F97"/>
    <w:rsid w:val="00502F5E"/>
    <w:rsid w:val="005079C0"/>
    <w:rsid w:val="0052634D"/>
    <w:rsid w:val="005420EC"/>
    <w:rsid w:val="00552C91"/>
    <w:rsid w:val="0055469E"/>
    <w:rsid w:val="005548C8"/>
    <w:rsid w:val="00563B34"/>
    <w:rsid w:val="0057355D"/>
    <w:rsid w:val="00574AC2"/>
    <w:rsid w:val="00580A5A"/>
    <w:rsid w:val="00581EAF"/>
    <w:rsid w:val="0058481D"/>
    <w:rsid w:val="00585D9C"/>
    <w:rsid w:val="005B1CA7"/>
    <w:rsid w:val="005B4CAF"/>
    <w:rsid w:val="005C1BFF"/>
    <w:rsid w:val="005C5D4C"/>
    <w:rsid w:val="005C7AB3"/>
    <w:rsid w:val="005D224F"/>
    <w:rsid w:val="005E5BF4"/>
    <w:rsid w:val="005E75AC"/>
    <w:rsid w:val="005F0CAA"/>
    <w:rsid w:val="005F4D3B"/>
    <w:rsid w:val="006063B8"/>
    <w:rsid w:val="00620A83"/>
    <w:rsid w:val="00623C2F"/>
    <w:rsid w:val="00624C53"/>
    <w:rsid w:val="0063167F"/>
    <w:rsid w:val="00641886"/>
    <w:rsid w:val="00641DE0"/>
    <w:rsid w:val="00652176"/>
    <w:rsid w:val="00671E41"/>
    <w:rsid w:val="006732C9"/>
    <w:rsid w:val="00675712"/>
    <w:rsid w:val="00685A91"/>
    <w:rsid w:val="006B20FE"/>
    <w:rsid w:val="006D14A5"/>
    <w:rsid w:val="006E3B55"/>
    <w:rsid w:val="006E4DDF"/>
    <w:rsid w:val="006F090E"/>
    <w:rsid w:val="006F416B"/>
    <w:rsid w:val="006F790A"/>
    <w:rsid w:val="007019FF"/>
    <w:rsid w:val="0071293F"/>
    <w:rsid w:val="00713675"/>
    <w:rsid w:val="00732B75"/>
    <w:rsid w:val="007407C2"/>
    <w:rsid w:val="00745DD2"/>
    <w:rsid w:val="0074622E"/>
    <w:rsid w:val="007464BB"/>
    <w:rsid w:val="0074651F"/>
    <w:rsid w:val="0075715C"/>
    <w:rsid w:val="00757F4D"/>
    <w:rsid w:val="00765894"/>
    <w:rsid w:val="00775202"/>
    <w:rsid w:val="00777CED"/>
    <w:rsid w:val="00780588"/>
    <w:rsid w:val="00780DC7"/>
    <w:rsid w:val="00782A92"/>
    <w:rsid w:val="007929CE"/>
    <w:rsid w:val="00797A34"/>
    <w:rsid w:val="007A43A9"/>
    <w:rsid w:val="007A5771"/>
    <w:rsid w:val="007B2C11"/>
    <w:rsid w:val="007B41E6"/>
    <w:rsid w:val="007B6E54"/>
    <w:rsid w:val="007C132D"/>
    <w:rsid w:val="007E16EF"/>
    <w:rsid w:val="007E56E6"/>
    <w:rsid w:val="007E7677"/>
    <w:rsid w:val="007F5BAA"/>
    <w:rsid w:val="00801E93"/>
    <w:rsid w:val="0081173E"/>
    <w:rsid w:val="0082121F"/>
    <w:rsid w:val="008252C4"/>
    <w:rsid w:val="00825A7B"/>
    <w:rsid w:val="00827C49"/>
    <w:rsid w:val="00854F14"/>
    <w:rsid w:val="00855C66"/>
    <w:rsid w:val="00883F57"/>
    <w:rsid w:val="00890274"/>
    <w:rsid w:val="00893BE4"/>
    <w:rsid w:val="008B1BB6"/>
    <w:rsid w:val="008B5764"/>
    <w:rsid w:val="008C5AAD"/>
    <w:rsid w:val="008D0A38"/>
    <w:rsid w:val="008D3DDB"/>
    <w:rsid w:val="008D78CB"/>
    <w:rsid w:val="008E30B9"/>
    <w:rsid w:val="00917EBB"/>
    <w:rsid w:val="00926E70"/>
    <w:rsid w:val="00942852"/>
    <w:rsid w:val="009603A4"/>
    <w:rsid w:val="00967FA4"/>
    <w:rsid w:val="00971689"/>
    <w:rsid w:val="00973E90"/>
    <w:rsid w:val="00977E2D"/>
    <w:rsid w:val="0099199D"/>
    <w:rsid w:val="00993BFF"/>
    <w:rsid w:val="009A7174"/>
    <w:rsid w:val="009B0B4B"/>
    <w:rsid w:val="009B2F73"/>
    <w:rsid w:val="009E0772"/>
    <w:rsid w:val="009E0957"/>
    <w:rsid w:val="009E42AD"/>
    <w:rsid w:val="00A01708"/>
    <w:rsid w:val="00A23186"/>
    <w:rsid w:val="00A31EFC"/>
    <w:rsid w:val="00A32763"/>
    <w:rsid w:val="00A421BB"/>
    <w:rsid w:val="00A427D4"/>
    <w:rsid w:val="00A6046C"/>
    <w:rsid w:val="00A671BF"/>
    <w:rsid w:val="00A73A5E"/>
    <w:rsid w:val="00A73F1C"/>
    <w:rsid w:val="00A85417"/>
    <w:rsid w:val="00A912B0"/>
    <w:rsid w:val="00A92D8F"/>
    <w:rsid w:val="00A94B4F"/>
    <w:rsid w:val="00A963C2"/>
    <w:rsid w:val="00AC5AF4"/>
    <w:rsid w:val="00AD3292"/>
    <w:rsid w:val="00AE5AB8"/>
    <w:rsid w:val="00AE6C5C"/>
    <w:rsid w:val="00B07180"/>
    <w:rsid w:val="00B07F44"/>
    <w:rsid w:val="00B128DA"/>
    <w:rsid w:val="00B219EC"/>
    <w:rsid w:val="00B249BE"/>
    <w:rsid w:val="00B26E7A"/>
    <w:rsid w:val="00B34CE6"/>
    <w:rsid w:val="00B3510A"/>
    <w:rsid w:val="00B37B29"/>
    <w:rsid w:val="00B53FFD"/>
    <w:rsid w:val="00B82BFB"/>
    <w:rsid w:val="00B833AE"/>
    <w:rsid w:val="00B83D78"/>
    <w:rsid w:val="00B85628"/>
    <w:rsid w:val="00B90E5A"/>
    <w:rsid w:val="00B91AB7"/>
    <w:rsid w:val="00B92E0C"/>
    <w:rsid w:val="00BA2F20"/>
    <w:rsid w:val="00BA5882"/>
    <w:rsid w:val="00BC02A1"/>
    <w:rsid w:val="00BE274F"/>
    <w:rsid w:val="00BF05F0"/>
    <w:rsid w:val="00BF3A62"/>
    <w:rsid w:val="00BF4855"/>
    <w:rsid w:val="00BF6829"/>
    <w:rsid w:val="00C06829"/>
    <w:rsid w:val="00C13F4B"/>
    <w:rsid w:val="00C17E8E"/>
    <w:rsid w:val="00C21F23"/>
    <w:rsid w:val="00C25A18"/>
    <w:rsid w:val="00C260B4"/>
    <w:rsid w:val="00C2692F"/>
    <w:rsid w:val="00C27B68"/>
    <w:rsid w:val="00C46862"/>
    <w:rsid w:val="00C468D9"/>
    <w:rsid w:val="00C50C4A"/>
    <w:rsid w:val="00C5376D"/>
    <w:rsid w:val="00C5734E"/>
    <w:rsid w:val="00C86D68"/>
    <w:rsid w:val="00C92D72"/>
    <w:rsid w:val="00C93472"/>
    <w:rsid w:val="00CA2E70"/>
    <w:rsid w:val="00CB71AE"/>
    <w:rsid w:val="00CC3662"/>
    <w:rsid w:val="00CD24F4"/>
    <w:rsid w:val="00CE15AF"/>
    <w:rsid w:val="00CE2391"/>
    <w:rsid w:val="00CE6D71"/>
    <w:rsid w:val="00CF394F"/>
    <w:rsid w:val="00CF7466"/>
    <w:rsid w:val="00D10473"/>
    <w:rsid w:val="00D349B2"/>
    <w:rsid w:val="00D35BB2"/>
    <w:rsid w:val="00D412F6"/>
    <w:rsid w:val="00D44680"/>
    <w:rsid w:val="00D52B7A"/>
    <w:rsid w:val="00D90E19"/>
    <w:rsid w:val="00DA280F"/>
    <w:rsid w:val="00DA610D"/>
    <w:rsid w:val="00DB285C"/>
    <w:rsid w:val="00DC6F6D"/>
    <w:rsid w:val="00DD4F0B"/>
    <w:rsid w:val="00DD5F88"/>
    <w:rsid w:val="00DE22A8"/>
    <w:rsid w:val="00DF3894"/>
    <w:rsid w:val="00E01F42"/>
    <w:rsid w:val="00E166BF"/>
    <w:rsid w:val="00E31FE5"/>
    <w:rsid w:val="00E34E7B"/>
    <w:rsid w:val="00E36CDA"/>
    <w:rsid w:val="00E37701"/>
    <w:rsid w:val="00E517F6"/>
    <w:rsid w:val="00E51CC8"/>
    <w:rsid w:val="00E53499"/>
    <w:rsid w:val="00E54241"/>
    <w:rsid w:val="00E56962"/>
    <w:rsid w:val="00E57FA8"/>
    <w:rsid w:val="00E66B34"/>
    <w:rsid w:val="00E67EC5"/>
    <w:rsid w:val="00E70CB1"/>
    <w:rsid w:val="00E72343"/>
    <w:rsid w:val="00E80E6B"/>
    <w:rsid w:val="00E84F71"/>
    <w:rsid w:val="00E85F7E"/>
    <w:rsid w:val="00EA0DB1"/>
    <w:rsid w:val="00EA2FDD"/>
    <w:rsid w:val="00EB3AC2"/>
    <w:rsid w:val="00EC15CA"/>
    <w:rsid w:val="00ED006C"/>
    <w:rsid w:val="00EF2EA6"/>
    <w:rsid w:val="00F12C20"/>
    <w:rsid w:val="00F31DB2"/>
    <w:rsid w:val="00F3455E"/>
    <w:rsid w:val="00F4367A"/>
    <w:rsid w:val="00F44D6B"/>
    <w:rsid w:val="00F45946"/>
    <w:rsid w:val="00F56B1C"/>
    <w:rsid w:val="00F60F74"/>
    <w:rsid w:val="00F61420"/>
    <w:rsid w:val="00F72680"/>
    <w:rsid w:val="00F7606D"/>
    <w:rsid w:val="00F916C1"/>
    <w:rsid w:val="00F95074"/>
    <w:rsid w:val="00F96054"/>
    <w:rsid w:val="00FA279B"/>
    <w:rsid w:val="00FA624C"/>
    <w:rsid w:val="00FA779D"/>
    <w:rsid w:val="00FB24CF"/>
    <w:rsid w:val="00FB3082"/>
    <w:rsid w:val="00FC1C59"/>
    <w:rsid w:val="00FC541E"/>
    <w:rsid w:val="00FD34CA"/>
    <w:rsid w:val="00FD7FD3"/>
    <w:rsid w:val="00FF71A9"/>
    <w:rsid w:val="00FF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C25A18"/>
    <w:pPr>
      <w:ind w:left="720"/>
      <w:contextualSpacing/>
    </w:pPr>
  </w:style>
  <w:style w:type="table" w:styleId="TableGrid">
    <w:name w:val="Table Grid"/>
    <w:basedOn w:val="TableNormal"/>
    <w:rsid w:val="00F72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C25A18"/>
    <w:pPr>
      <w:ind w:left="720"/>
      <w:contextualSpacing/>
    </w:pPr>
  </w:style>
  <w:style w:type="table" w:styleId="TableGrid">
    <w:name w:val="Table Grid"/>
    <w:basedOn w:val="TableNormal"/>
    <w:rsid w:val="00F72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2A738-3080-4257-9D79-CB844CE1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C07A14A2.dotm</Template>
  <TotalTime>16</TotalTime>
  <Pages>4</Pages>
  <Words>1271</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35</cp:revision>
  <cp:lastPrinted>2015-01-29T09:49:00Z</cp:lastPrinted>
  <dcterms:created xsi:type="dcterms:W3CDTF">2015-02-02T09:36:00Z</dcterms:created>
  <dcterms:modified xsi:type="dcterms:W3CDTF">2015-02-03T13:51:00Z</dcterms:modified>
</cp:coreProperties>
</file>